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B9541" w14:textId="77777777" w:rsidR="00EA6933" w:rsidRPr="00EA6933" w:rsidRDefault="00EA6933" w:rsidP="00EA6933">
      <w:pPr>
        <w:tabs>
          <w:tab w:val="center" w:pos="4536"/>
          <w:tab w:val="right" w:pos="9072"/>
        </w:tabs>
        <w:spacing w:line="276" w:lineRule="auto"/>
        <w:rPr>
          <w:rFonts w:ascii="Arial" w:eastAsia="Times New Roman" w:hAnsi="Arial" w:cs="Arial"/>
        </w:rPr>
      </w:pPr>
      <w:bookmarkStart w:id="0" w:name="_Hlk132275814"/>
      <w:bookmarkEnd w:id="0"/>
      <w:r w:rsidRPr="00EA6933">
        <w:rPr>
          <w:rFonts w:ascii="Arial" w:eastAsia="Times New Roman" w:hAnsi="Arial" w:cs="Arial"/>
          <w:b/>
          <w:noProof/>
          <w:color w:val="006328"/>
          <w:lang w:eastAsia="hr-HR"/>
        </w:rPr>
        <w:drawing>
          <wp:anchor distT="0" distB="0" distL="114300" distR="114300" simplePos="0" relativeHeight="251661312" behindDoc="0" locked="0" layoutInCell="1" allowOverlap="1" wp14:anchorId="56F5E21B" wp14:editId="60ED56FE">
            <wp:simplePos x="0" y="0"/>
            <wp:positionH relativeFrom="column">
              <wp:posOffset>0</wp:posOffset>
            </wp:positionH>
            <wp:positionV relativeFrom="paragraph">
              <wp:posOffset>148590</wp:posOffset>
            </wp:positionV>
            <wp:extent cx="2400300" cy="638810"/>
            <wp:effectExtent l="0" t="0" r="0" b="8890"/>
            <wp:wrapNone/>
            <wp:docPr id="1" name="Slika 1" descr="Slika na kojoj se prikazuje grafika, šarenilo, grafički dizajn, zelen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grafika, šarenilo, grafički dizajn, zeleno&#10;&#10;Sadržaj generiran umjetnom inteligencijom može biti netoč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9A220" w14:textId="77777777" w:rsidR="00EA6933" w:rsidRPr="00EA6933" w:rsidRDefault="00EA6933" w:rsidP="00EA6933">
      <w:pPr>
        <w:spacing w:line="276" w:lineRule="auto"/>
        <w:rPr>
          <w:rFonts w:ascii="Arial" w:eastAsia="Times New Roman" w:hAnsi="Arial" w:cs="Arial"/>
        </w:rPr>
      </w:pPr>
    </w:p>
    <w:p w14:paraId="295D725A" w14:textId="77777777" w:rsidR="00EA6933" w:rsidRPr="00EA6933" w:rsidRDefault="00EA6933" w:rsidP="00EA6933">
      <w:pPr>
        <w:spacing w:line="276" w:lineRule="auto"/>
        <w:rPr>
          <w:rFonts w:ascii="Arial" w:eastAsia="Times New Roman" w:hAnsi="Arial" w:cs="Arial"/>
        </w:rPr>
      </w:pPr>
    </w:p>
    <w:p w14:paraId="00F8C08A" w14:textId="77777777" w:rsidR="00EA6933" w:rsidRPr="00EA6933" w:rsidRDefault="00EA6933" w:rsidP="00EA6933">
      <w:pPr>
        <w:spacing w:line="276" w:lineRule="auto"/>
        <w:rPr>
          <w:rFonts w:ascii="Arial" w:eastAsia="Times New Roman" w:hAnsi="Arial" w:cs="Arial"/>
        </w:rPr>
      </w:pPr>
    </w:p>
    <w:p w14:paraId="303869C3" w14:textId="77777777" w:rsidR="00EA6933" w:rsidRPr="00EA6933" w:rsidRDefault="00EA6933" w:rsidP="00EA6933">
      <w:pPr>
        <w:spacing w:line="276" w:lineRule="auto"/>
        <w:rPr>
          <w:rFonts w:ascii="Arial" w:eastAsia="Times New Roman" w:hAnsi="Arial" w:cs="Arial"/>
        </w:rPr>
      </w:pPr>
    </w:p>
    <w:p w14:paraId="7F3E191B" w14:textId="77777777" w:rsidR="00EA6933" w:rsidRPr="00EA6933" w:rsidRDefault="00EA6933" w:rsidP="00EA6933">
      <w:pPr>
        <w:spacing w:line="276" w:lineRule="auto"/>
        <w:rPr>
          <w:rFonts w:ascii="Arial" w:eastAsia="Times New Roman" w:hAnsi="Arial" w:cs="Arial"/>
        </w:rPr>
      </w:pPr>
    </w:p>
    <w:p w14:paraId="297EFA66" w14:textId="77777777" w:rsidR="00EA6933" w:rsidRPr="00EA6933" w:rsidRDefault="00EA6933" w:rsidP="00EA6933">
      <w:pPr>
        <w:spacing w:line="276" w:lineRule="auto"/>
        <w:rPr>
          <w:rFonts w:ascii="Arial" w:eastAsia="Times New Roman" w:hAnsi="Arial" w:cs="Arial"/>
        </w:rPr>
      </w:pPr>
    </w:p>
    <w:p w14:paraId="0C5614A7" w14:textId="77777777" w:rsidR="00EA6933" w:rsidRPr="00EA6933" w:rsidRDefault="00EA6933" w:rsidP="00EA6933">
      <w:pPr>
        <w:spacing w:line="276" w:lineRule="auto"/>
        <w:rPr>
          <w:rFonts w:ascii="Arial" w:eastAsia="Times New Roman" w:hAnsi="Arial" w:cs="Arial"/>
        </w:rPr>
      </w:pPr>
    </w:p>
    <w:p w14:paraId="5D62F740" w14:textId="77777777" w:rsidR="00EA6933" w:rsidRPr="00EA6933" w:rsidRDefault="00EA6933" w:rsidP="00EA6933">
      <w:pPr>
        <w:spacing w:line="276" w:lineRule="auto"/>
        <w:rPr>
          <w:rFonts w:ascii="Arial" w:eastAsia="Times New Roman" w:hAnsi="Arial" w:cs="Arial"/>
        </w:rPr>
      </w:pPr>
    </w:p>
    <w:p w14:paraId="38B42F03" w14:textId="77777777" w:rsidR="00EA6933" w:rsidRPr="00EA6933" w:rsidRDefault="00EA6933" w:rsidP="00EA6933">
      <w:pPr>
        <w:spacing w:line="276" w:lineRule="auto"/>
        <w:rPr>
          <w:rFonts w:ascii="Arial" w:eastAsia="Times New Roman" w:hAnsi="Arial" w:cs="Arial"/>
        </w:rPr>
      </w:pPr>
    </w:p>
    <w:p w14:paraId="737C5AFB" w14:textId="77777777" w:rsidR="00EA6933" w:rsidRPr="00EA6933" w:rsidRDefault="00EA6933" w:rsidP="00EA6933">
      <w:pPr>
        <w:spacing w:line="276" w:lineRule="auto"/>
        <w:rPr>
          <w:rFonts w:ascii="Arial" w:eastAsia="Times New Roman" w:hAnsi="Arial" w:cs="Arial"/>
        </w:rPr>
      </w:pPr>
    </w:p>
    <w:p w14:paraId="04BB47AC" w14:textId="77777777" w:rsidR="00EA6933" w:rsidRPr="00EA6933" w:rsidRDefault="00EA6933" w:rsidP="00EA6933">
      <w:pPr>
        <w:spacing w:line="276" w:lineRule="auto"/>
        <w:jc w:val="center"/>
        <w:rPr>
          <w:rFonts w:ascii="Arial" w:eastAsia="Times New Roman" w:hAnsi="Arial" w:cs="Arial"/>
          <w:b/>
          <w:sz w:val="52"/>
          <w:szCs w:val="52"/>
        </w:rPr>
      </w:pPr>
      <w:r w:rsidRPr="00EA6933">
        <w:rPr>
          <w:rFonts w:ascii="Arial" w:eastAsia="Times New Roman" w:hAnsi="Arial" w:cs="Arial"/>
          <w:b/>
          <w:sz w:val="52"/>
          <w:szCs w:val="52"/>
        </w:rPr>
        <w:t>IZVJEŠTAJ POSLOVODSTVA</w:t>
      </w:r>
    </w:p>
    <w:p w14:paraId="1FB947F6" w14:textId="77777777" w:rsidR="00EA6933" w:rsidRPr="00EA6933" w:rsidRDefault="00EA6933" w:rsidP="00EA6933">
      <w:pPr>
        <w:spacing w:line="276" w:lineRule="auto"/>
        <w:jc w:val="center"/>
        <w:rPr>
          <w:rFonts w:ascii="Arial" w:eastAsia="Times New Roman" w:hAnsi="Arial" w:cs="Arial"/>
          <w:b/>
          <w:sz w:val="40"/>
          <w:szCs w:val="40"/>
        </w:rPr>
      </w:pPr>
      <w:r w:rsidRPr="00EA6933">
        <w:rPr>
          <w:rFonts w:ascii="Arial" w:eastAsia="Times New Roman" w:hAnsi="Arial" w:cs="Arial"/>
          <w:b/>
          <w:sz w:val="40"/>
          <w:szCs w:val="40"/>
        </w:rPr>
        <w:t>DRUŠTVA KOMUNALAC d.o.o., SAMOBOR</w:t>
      </w:r>
    </w:p>
    <w:p w14:paraId="220A5DDE" w14:textId="77777777" w:rsidR="00EA6933" w:rsidRPr="00EA6933" w:rsidRDefault="00EA6933" w:rsidP="00EA6933">
      <w:pPr>
        <w:spacing w:line="276" w:lineRule="auto"/>
        <w:jc w:val="center"/>
        <w:rPr>
          <w:rFonts w:ascii="Arial" w:eastAsia="Times New Roman" w:hAnsi="Arial" w:cs="Arial"/>
          <w:b/>
          <w:sz w:val="40"/>
          <w:szCs w:val="40"/>
        </w:rPr>
      </w:pPr>
      <w:r w:rsidRPr="00EA6933">
        <w:rPr>
          <w:rFonts w:ascii="Arial" w:eastAsia="Times New Roman" w:hAnsi="Arial" w:cs="Arial"/>
          <w:b/>
          <w:sz w:val="40"/>
          <w:szCs w:val="40"/>
        </w:rPr>
        <w:t>ZA 2024. GODINU</w:t>
      </w:r>
    </w:p>
    <w:p w14:paraId="02BFDBA7" w14:textId="77777777" w:rsidR="00EA6933" w:rsidRPr="00EA6933" w:rsidRDefault="00EA6933" w:rsidP="00EA6933">
      <w:pPr>
        <w:spacing w:line="276" w:lineRule="auto"/>
        <w:rPr>
          <w:rFonts w:ascii="Arial" w:eastAsia="Times New Roman" w:hAnsi="Arial" w:cs="Arial"/>
          <w:b/>
          <w:sz w:val="52"/>
          <w:szCs w:val="52"/>
        </w:rPr>
      </w:pPr>
    </w:p>
    <w:p w14:paraId="155A4C85" w14:textId="77777777" w:rsidR="00EA6933" w:rsidRPr="00EA6933" w:rsidRDefault="00EA6933" w:rsidP="00EA6933">
      <w:pPr>
        <w:spacing w:line="276" w:lineRule="auto"/>
        <w:jc w:val="both"/>
        <w:rPr>
          <w:rFonts w:ascii="Arial" w:eastAsia="Times New Roman" w:hAnsi="Arial" w:cs="Arial"/>
          <w:b/>
          <w:sz w:val="21"/>
          <w:szCs w:val="21"/>
        </w:rPr>
      </w:pPr>
    </w:p>
    <w:p w14:paraId="44363C4C" w14:textId="77777777" w:rsidR="00EA6933" w:rsidRPr="00EA6933" w:rsidRDefault="00EA6933" w:rsidP="00EA6933">
      <w:pPr>
        <w:spacing w:line="276" w:lineRule="auto"/>
        <w:jc w:val="both"/>
        <w:rPr>
          <w:rFonts w:ascii="Arial" w:eastAsia="Times New Roman" w:hAnsi="Arial" w:cs="Arial"/>
          <w:sz w:val="21"/>
          <w:szCs w:val="21"/>
        </w:rPr>
      </w:pPr>
    </w:p>
    <w:p w14:paraId="6FB40001" w14:textId="77777777" w:rsidR="00EA6933" w:rsidRPr="00EA6933" w:rsidRDefault="00EA6933" w:rsidP="00EA6933">
      <w:pPr>
        <w:spacing w:line="276" w:lineRule="auto"/>
        <w:jc w:val="both"/>
        <w:rPr>
          <w:rFonts w:ascii="Arial" w:eastAsia="Times New Roman" w:hAnsi="Arial" w:cs="Arial"/>
          <w:sz w:val="21"/>
          <w:szCs w:val="21"/>
        </w:rPr>
      </w:pPr>
    </w:p>
    <w:p w14:paraId="677122BE" w14:textId="77777777" w:rsidR="00EA6933" w:rsidRPr="00EA6933" w:rsidRDefault="00EA6933" w:rsidP="00EA6933">
      <w:pPr>
        <w:spacing w:line="276" w:lineRule="auto"/>
        <w:jc w:val="both"/>
        <w:rPr>
          <w:rFonts w:ascii="Arial" w:eastAsia="Times New Roman" w:hAnsi="Arial" w:cs="Arial"/>
          <w:sz w:val="21"/>
          <w:szCs w:val="21"/>
        </w:rPr>
      </w:pPr>
    </w:p>
    <w:p w14:paraId="7A4EC0F1" w14:textId="77777777" w:rsidR="00EA6933" w:rsidRPr="00EA6933" w:rsidRDefault="00EA6933" w:rsidP="00EA6933">
      <w:pPr>
        <w:spacing w:line="276" w:lineRule="auto"/>
        <w:jc w:val="both"/>
        <w:rPr>
          <w:rFonts w:ascii="Arial" w:eastAsia="Times New Roman" w:hAnsi="Arial" w:cs="Arial"/>
          <w:sz w:val="21"/>
          <w:szCs w:val="21"/>
        </w:rPr>
      </w:pPr>
    </w:p>
    <w:p w14:paraId="3A4CC94C" w14:textId="77777777" w:rsidR="00EA6933" w:rsidRPr="00EA6933" w:rsidRDefault="00EA6933" w:rsidP="00EA6933">
      <w:pPr>
        <w:spacing w:line="276" w:lineRule="auto"/>
        <w:jc w:val="both"/>
        <w:rPr>
          <w:rFonts w:ascii="Arial" w:eastAsia="Times New Roman" w:hAnsi="Arial" w:cs="Arial"/>
          <w:sz w:val="21"/>
          <w:szCs w:val="21"/>
        </w:rPr>
      </w:pPr>
    </w:p>
    <w:p w14:paraId="2ED34A3E" w14:textId="77777777" w:rsidR="00EA6933" w:rsidRPr="00EA6933" w:rsidRDefault="00EA6933" w:rsidP="00EA6933">
      <w:pPr>
        <w:spacing w:line="276" w:lineRule="auto"/>
        <w:jc w:val="both"/>
        <w:rPr>
          <w:rFonts w:ascii="Arial" w:eastAsia="Times New Roman" w:hAnsi="Arial" w:cs="Arial"/>
          <w:sz w:val="21"/>
          <w:szCs w:val="21"/>
        </w:rPr>
      </w:pPr>
    </w:p>
    <w:p w14:paraId="7AD3F9FF" w14:textId="77777777" w:rsidR="00EA6933" w:rsidRPr="00EA6933" w:rsidRDefault="00EA6933" w:rsidP="00EA6933">
      <w:pPr>
        <w:spacing w:line="276" w:lineRule="auto"/>
        <w:jc w:val="both"/>
        <w:rPr>
          <w:rFonts w:ascii="Arial" w:eastAsia="Times New Roman" w:hAnsi="Arial" w:cs="Arial"/>
          <w:sz w:val="21"/>
          <w:szCs w:val="21"/>
        </w:rPr>
      </w:pPr>
    </w:p>
    <w:p w14:paraId="312AA4CC" w14:textId="77777777" w:rsidR="00EA6933" w:rsidRPr="00EA6933" w:rsidRDefault="00EA6933" w:rsidP="00EA6933">
      <w:pPr>
        <w:spacing w:line="276" w:lineRule="auto"/>
        <w:jc w:val="both"/>
        <w:rPr>
          <w:rFonts w:ascii="Arial" w:eastAsia="Times New Roman" w:hAnsi="Arial" w:cs="Arial"/>
          <w:sz w:val="21"/>
          <w:szCs w:val="21"/>
        </w:rPr>
      </w:pPr>
    </w:p>
    <w:p w14:paraId="4C00F502" w14:textId="77777777" w:rsidR="00EA6933" w:rsidRPr="00EA6933" w:rsidRDefault="00EA6933" w:rsidP="00EA6933">
      <w:pPr>
        <w:spacing w:line="276" w:lineRule="auto"/>
        <w:jc w:val="center"/>
        <w:rPr>
          <w:rFonts w:ascii="Arial" w:eastAsia="Times New Roman" w:hAnsi="Arial" w:cs="Arial"/>
          <w:sz w:val="21"/>
          <w:szCs w:val="21"/>
        </w:rPr>
      </w:pPr>
    </w:p>
    <w:p w14:paraId="5BC431D4" w14:textId="77777777" w:rsidR="00EA6933" w:rsidRPr="00EA6933" w:rsidRDefault="00EA6933" w:rsidP="00EA6933">
      <w:pPr>
        <w:spacing w:line="276" w:lineRule="auto"/>
        <w:jc w:val="center"/>
        <w:rPr>
          <w:rFonts w:ascii="Arial" w:eastAsia="Times New Roman" w:hAnsi="Arial" w:cs="Arial"/>
          <w:sz w:val="21"/>
          <w:szCs w:val="21"/>
        </w:rPr>
      </w:pPr>
    </w:p>
    <w:p w14:paraId="10B885A2" w14:textId="76D1C554" w:rsidR="00EA6933" w:rsidRPr="00EA6933" w:rsidRDefault="00EA6933" w:rsidP="00EA6933">
      <w:pPr>
        <w:spacing w:line="276" w:lineRule="auto"/>
        <w:jc w:val="center"/>
        <w:rPr>
          <w:rFonts w:ascii="Arial" w:eastAsia="Times New Roman" w:hAnsi="Arial" w:cs="Arial"/>
        </w:rPr>
      </w:pPr>
      <w:r w:rsidRPr="00EA6933">
        <w:rPr>
          <w:rFonts w:ascii="Arial" w:eastAsia="Times New Roman" w:hAnsi="Arial" w:cs="Arial"/>
        </w:rPr>
        <w:t xml:space="preserve">Samobor, </w:t>
      </w:r>
      <w:r w:rsidR="002D2DBA">
        <w:rPr>
          <w:rFonts w:ascii="Arial" w:eastAsia="Times New Roman" w:hAnsi="Arial" w:cs="Arial"/>
        </w:rPr>
        <w:t>svibanj</w:t>
      </w:r>
      <w:r w:rsidRPr="00EA6933">
        <w:rPr>
          <w:rFonts w:ascii="Arial" w:eastAsia="Times New Roman" w:hAnsi="Arial" w:cs="Arial"/>
        </w:rPr>
        <w:t xml:space="preserve"> 2025. godine</w:t>
      </w:r>
    </w:p>
    <w:p w14:paraId="11EB55BF"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1"/>
          <w:szCs w:val="21"/>
        </w:rPr>
        <w:br w:type="page"/>
      </w:r>
      <w:r w:rsidRPr="00EA6933">
        <w:rPr>
          <w:rFonts w:ascii="Arial" w:eastAsia="Times New Roman" w:hAnsi="Arial" w:cs="Arial"/>
          <w:sz w:val="24"/>
          <w:szCs w:val="24"/>
        </w:rPr>
        <w:lastRenderedPageBreak/>
        <w:t>U skladu sa čl. 21. Zakona o računovodstvu (Narodne novine broj 85/24 i 145/24) i čl. 250.a i čl. 431.b Zakona o trgovačkim društvima (Narodne novine broj 111/93, 34/99, 121/99, 52/00, 118/03, 107/07, 146/08, 137/09, 125/11, 152/11, 111/12, 68/13, 110/15, 40/19, 34/22, 114/22, 18/23, 130/23 i 136/24), direktor društva Renato Raguž, dipl. ing. stroj. donosi:</w:t>
      </w:r>
    </w:p>
    <w:p w14:paraId="0C453537" w14:textId="77777777" w:rsidR="00EA6933" w:rsidRPr="00EA6933" w:rsidRDefault="00EA6933" w:rsidP="00EA6933">
      <w:pPr>
        <w:spacing w:after="120" w:line="360" w:lineRule="auto"/>
        <w:ind w:firstLine="567"/>
        <w:jc w:val="both"/>
        <w:rPr>
          <w:rFonts w:ascii="Arial" w:eastAsia="Times New Roman" w:hAnsi="Arial" w:cs="Arial"/>
          <w:sz w:val="24"/>
          <w:szCs w:val="24"/>
        </w:rPr>
      </w:pPr>
      <w:r w:rsidRPr="00EA6933">
        <w:rPr>
          <w:rFonts w:ascii="Arial" w:eastAsia="Times New Roman" w:hAnsi="Arial" w:cs="Arial"/>
          <w:sz w:val="24"/>
          <w:szCs w:val="24"/>
        </w:rPr>
        <w:t xml:space="preserve"> </w:t>
      </w:r>
    </w:p>
    <w:p w14:paraId="561734A1" w14:textId="77777777" w:rsidR="00EA6933" w:rsidRPr="00EA6933" w:rsidRDefault="00EA6933" w:rsidP="00EA6933">
      <w:pPr>
        <w:tabs>
          <w:tab w:val="left" w:pos="6840"/>
        </w:tabs>
        <w:spacing w:after="480" w:line="276" w:lineRule="auto"/>
        <w:jc w:val="center"/>
        <w:rPr>
          <w:rFonts w:ascii="Arial" w:eastAsia="Times New Roman" w:hAnsi="Arial" w:cs="Arial"/>
          <w:b/>
          <w:sz w:val="40"/>
          <w:szCs w:val="40"/>
        </w:rPr>
      </w:pPr>
      <w:r w:rsidRPr="00EA6933">
        <w:rPr>
          <w:rFonts w:ascii="Arial" w:eastAsia="Times New Roman" w:hAnsi="Arial" w:cs="Arial"/>
          <w:b/>
          <w:sz w:val="40"/>
          <w:szCs w:val="40"/>
        </w:rPr>
        <w:t>IZVJEŠTAJ POSLOVODSTVA</w:t>
      </w:r>
    </w:p>
    <w:p w14:paraId="534AE06D" w14:textId="77777777" w:rsidR="00EA6933" w:rsidRPr="00EA6933" w:rsidRDefault="00EA6933" w:rsidP="00EA6933">
      <w:pPr>
        <w:tabs>
          <w:tab w:val="left" w:pos="567"/>
        </w:tabs>
        <w:spacing w:after="480" w:line="276" w:lineRule="auto"/>
        <w:rPr>
          <w:rFonts w:ascii="Arial" w:eastAsia="Times New Roman" w:hAnsi="Arial" w:cs="Arial"/>
          <w:b/>
          <w:sz w:val="24"/>
          <w:szCs w:val="24"/>
        </w:rPr>
      </w:pPr>
      <w:r w:rsidRPr="00EA6933">
        <w:rPr>
          <w:rFonts w:ascii="Arial" w:eastAsia="Times New Roman" w:hAnsi="Arial" w:cs="Arial"/>
          <w:sz w:val="24"/>
          <w:szCs w:val="24"/>
        </w:rPr>
        <w:t>Izvještaj poslovodstva društva Komunalac d.o.o., Samobor, Ulica 151. samoborske brigade HV 2, sadržava:</w:t>
      </w:r>
    </w:p>
    <w:p w14:paraId="7A908A90" w14:textId="77777777" w:rsidR="00EA6933" w:rsidRPr="00EA6933" w:rsidRDefault="00EA6933" w:rsidP="00EA6933">
      <w:pPr>
        <w:numPr>
          <w:ilvl w:val="0"/>
          <w:numId w:val="8"/>
        </w:numPr>
        <w:tabs>
          <w:tab w:val="left" w:pos="567"/>
        </w:tabs>
        <w:spacing w:after="0" w:line="360" w:lineRule="auto"/>
        <w:jc w:val="both"/>
        <w:rPr>
          <w:rFonts w:ascii="Arial" w:eastAsia="Times New Roman" w:hAnsi="Arial" w:cs="Arial"/>
          <w:sz w:val="24"/>
          <w:szCs w:val="24"/>
        </w:rPr>
      </w:pPr>
      <w:r w:rsidRPr="00EA6933">
        <w:rPr>
          <w:rFonts w:ascii="Arial" w:eastAsia="Times New Roman" w:hAnsi="Arial" w:cs="Arial"/>
          <w:sz w:val="24"/>
          <w:szCs w:val="24"/>
        </w:rPr>
        <w:t>Osnovni podaci o društvu Komunalac d.o.o.</w:t>
      </w:r>
    </w:p>
    <w:p w14:paraId="1620B5C5" w14:textId="77777777" w:rsidR="00EA6933" w:rsidRPr="00EA6933" w:rsidRDefault="00EA6933" w:rsidP="00EA6933">
      <w:pPr>
        <w:numPr>
          <w:ilvl w:val="0"/>
          <w:numId w:val="8"/>
        </w:numPr>
        <w:tabs>
          <w:tab w:val="left" w:pos="567"/>
        </w:tabs>
        <w:spacing w:after="0" w:line="360" w:lineRule="auto"/>
        <w:contextualSpacing/>
        <w:jc w:val="both"/>
        <w:rPr>
          <w:rFonts w:ascii="Arial" w:eastAsia="Times New Roman" w:hAnsi="Arial" w:cs="Arial"/>
          <w:sz w:val="24"/>
          <w:szCs w:val="24"/>
        </w:rPr>
      </w:pPr>
      <w:r w:rsidRPr="00EA6933">
        <w:rPr>
          <w:rFonts w:ascii="Arial" w:eastAsia="Times New Roman" w:hAnsi="Arial" w:cs="Arial"/>
          <w:sz w:val="24"/>
          <w:szCs w:val="24"/>
        </w:rPr>
        <w:t>Objektivan prikaz razvoja i rezultata poslovanja, opis glavnih rizika i neizvjesnosti te obavijesti o zaštiti okoliša i radnicima</w:t>
      </w:r>
    </w:p>
    <w:p w14:paraId="7FE9F8FD" w14:textId="77777777" w:rsidR="00EA6933" w:rsidRPr="00EA6933" w:rsidRDefault="00EA6933" w:rsidP="00EA6933">
      <w:pPr>
        <w:numPr>
          <w:ilvl w:val="1"/>
          <w:numId w:val="8"/>
        </w:numPr>
        <w:tabs>
          <w:tab w:val="left" w:pos="567"/>
          <w:tab w:val="left" w:pos="1276"/>
        </w:tabs>
        <w:spacing w:after="120" w:line="240" w:lineRule="auto"/>
        <w:ind w:left="709" w:hanging="142"/>
        <w:rPr>
          <w:rFonts w:ascii="Arial" w:eastAsia="Times New Roman" w:hAnsi="Arial" w:cs="Arial"/>
          <w:sz w:val="24"/>
          <w:szCs w:val="24"/>
        </w:rPr>
      </w:pPr>
      <w:r w:rsidRPr="00EA6933">
        <w:rPr>
          <w:rFonts w:ascii="Arial" w:eastAsia="Times New Roman" w:hAnsi="Arial" w:cs="Arial"/>
          <w:sz w:val="24"/>
          <w:szCs w:val="24"/>
        </w:rPr>
        <w:t>Osnovne karakteristike funkcioniranja po djelatnostima</w:t>
      </w:r>
    </w:p>
    <w:p w14:paraId="4E020B7A" w14:textId="77777777" w:rsidR="00EA6933" w:rsidRPr="00EA6933" w:rsidRDefault="00EA6933" w:rsidP="00EA6933">
      <w:pPr>
        <w:numPr>
          <w:ilvl w:val="0"/>
          <w:numId w:val="8"/>
        </w:numPr>
        <w:tabs>
          <w:tab w:val="left" w:pos="567"/>
        </w:tabs>
        <w:spacing w:after="0" w:line="360" w:lineRule="auto"/>
        <w:jc w:val="both"/>
        <w:rPr>
          <w:rFonts w:ascii="Arial" w:eastAsia="Times New Roman" w:hAnsi="Arial" w:cs="Arial"/>
          <w:sz w:val="24"/>
          <w:szCs w:val="24"/>
        </w:rPr>
      </w:pPr>
      <w:r w:rsidRPr="00EA6933">
        <w:rPr>
          <w:rFonts w:ascii="Arial" w:eastAsia="Times New Roman" w:hAnsi="Arial" w:cs="Arial"/>
          <w:sz w:val="24"/>
          <w:szCs w:val="24"/>
        </w:rPr>
        <w:t>Izvještaj poslovodstva</w:t>
      </w:r>
    </w:p>
    <w:p w14:paraId="3F7F340B"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Značajni događaji nakon proteka poslovne godine</w:t>
      </w:r>
    </w:p>
    <w:p w14:paraId="0DFC52FB"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Očekivani razvoj društva u budućnosti</w:t>
      </w:r>
    </w:p>
    <w:p w14:paraId="24081784"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Djelovanje društva na području istraživanja i razvoja</w:t>
      </w:r>
    </w:p>
    <w:p w14:paraId="657ADC7F"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Informacije o financijskim instrumentima bitnim za poslovanje društva</w:t>
      </w:r>
    </w:p>
    <w:p w14:paraId="3569E129"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Izloženost društva rizicima i upravljanje rizicima</w:t>
      </w:r>
    </w:p>
    <w:p w14:paraId="39EFA063"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bookmarkStart w:id="1" w:name="_Hlk137639030"/>
      <w:r w:rsidRPr="00EA6933">
        <w:rPr>
          <w:rFonts w:ascii="Arial" w:eastAsia="Times New Roman" w:hAnsi="Arial" w:cs="Arial"/>
          <w:sz w:val="24"/>
          <w:szCs w:val="24"/>
        </w:rPr>
        <w:t>Informacije o stjecanju vlastitih dionica i informacije o podružnicama društva</w:t>
      </w:r>
    </w:p>
    <w:bookmarkEnd w:id="1"/>
    <w:p w14:paraId="38E8BC2C" w14:textId="77777777" w:rsidR="00EA6933" w:rsidRPr="00EA6933" w:rsidRDefault="00EA6933" w:rsidP="00EA6933">
      <w:pPr>
        <w:numPr>
          <w:ilvl w:val="0"/>
          <w:numId w:val="8"/>
        </w:numPr>
        <w:tabs>
          <w:tab w:val="left" w:pos="567"/>
        </w:tabs>
        <w:spacing w:after="0" w:line="360" w:lineRule="auto"/>
        <w:jc w:val="both"/>
        <w:rPr>
          <w:rFonts w:ascii="Arial" w:eastAsia="Times New Roman" w:hAnsi="Arial" w:cs="Arial"/>
          <w:sz w:val="24"/>
          <w:szCs w:val="24"/>
        </w:rPr>
      </w:pPr>
      <w:r w:rsidRPr="00EA6933">
        <w:rPr>
          <w:rFonts w:ascii="Arial" w:eastAsia="Times New Roman" w:hAnsi="Arial" w:cs="Arial"/>
          <w:sz w:val="24"/>
          <w:szCs w:val="24"/>
        </w:rPr>
        <w:t>Financijski izvještaji</w:t>
      </w:r>
    </w:p>
    <w:p w14:paraId="5387C564"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Bilanca</w:t>
      </w:r>
    </w:p>
    <w:p w14:paraId="1AAC6C44"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Račun dobiti i gubitka</w:t>
      </w:r>
    </w:p>
    <w:p w14:paraId="63C2257F"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Rezultat poslovanja u 2024. godini</w:t>
      </w:r>
    </w:p>
    <w:p w14:paraId="2A256D34" w14:textId="77777777" w:rsidR="00EA6933" w:rsidRPr="00EA6933" w:rsidRDefault="00EA6933" w:rsidP="00EA6933">
      <w:pPr>
        <w:numPr>
          <w:ilvl w:val="1"/>
          <w:numId w:val="8"/>
        </w:numPr>
        <w:tabs>
          <w:tab w:val="left" w:pos="567"/>
        </w:tabs>
        <w:spacing w:after="0" w:line="360" w:lineRule="auto"/>
        <w:ind w:left="1276" w:hanging="709"/>
        <w:jc w:val="both"/>
        <w:rPr>
          <w:rFonts w:ascii="Arial" w:eastAsia="Times New Roman" w:hAnsi="Arial" w:cs="Arial"/>
          <w:sz w:val="24"/>
          <w:szCs w:val="24"/>
        </w:rPr>
      </w:pPr>
      <w:r w:rsidRPr="00EA6933">
        <w:rPr>
          <w:rFonts w:ascii="Arial" w:eastAsia="Times New Roman" w:hAnsi="Arial" w:cs="Arial"/>
          <w:sz w:val="24"/>
          <w:szCs w:val="24"/>
        </w:rPr>
        <w:t>Pokazatelji analize financijskih izvještaja</w:t>
      </w:r>
    </w:p>
    <w:p w14:paraId="78DB253A" w14:textId="77777777" w:rsidR="00EA6933" w:rsidRPr="00EA6933" w:rsidRDefault="00EA6933" w:rsidP="00EA6933">
      <w:pPr>
        <w:tabs>
          <w:tab w:val="left" w:pos="567"/>
        </w:tabs>
        <w:spacing w:line="360" w:lineRule="auto"/>
        <w:jc w:val="both"/>
        <w:rPr>
          <w:rFonts w:ascii="Arial" w:eastAsia="Times New Roman" w:hAnsi="Arial" w:cs="Arial"/>
          <w:sz w:val="24"/>
          <w:szCs w:val="24"/>
        </w:rPr>
      </w:pPr>
    </w:p>
    <w:p w14:paraId="0A300AE6" w14:textId="77777777" w:rsidR="00EA6933" w:rsidRPr="00EA6933" w:rsidRDefault="00EA6933" w:rsidP="00EA6933">
      <w:pPr>
        <w:tabs>
          <w:tab w:val="left" w:pos="567"/>
        </w:tabs>
        <w:spacing w:line="360" w:lineRule="auto"/>
        <w:jc w:val="both"/>
        <w:rPr>
          <w:rFonts w:ascii="Arial" w:eastAsia="Times New Roman" w:hAnsi="Arial" w:cs="Arial"/>
        </w:rPr>
      </w:pPr>
    </w:p>
    <w:p w14:paraId="701ED186" w14:textId="77777777" w:rsidR="00EA6933" w:rsidRPr="00EA6933" w:rsidRDefault="00EA6933" w:rsidP="00EA6933">
      <w:pPr>
        <w:tabs>
          <w:tab w:val="left" w:pos="567"/>
        </w:tabs>
        <w:spacing w:line="360" w:lineRule="auto"/>
        <w:jc w:val="both"/>
        <w:rPr>
          <w:rFonts w:ascii="Arial" w:eastAsia="Times New Roman" w:hAnsi="Arial" w:cs="Arial"/>
        </w:rPr>
      </w:pPr>
    </w:p>
    <w:p w14:paraId="6958F5D1" w14:textId="77777777" w:rsidR="00EA6933" w:rsidRPr="00EA6933" w:rsidRDefault="00EA6933" w:rsidP="00EA6933">
      <w:pPr>
        <w:tabs>
          <w:tab w:val="left" w:pos="567"/>
        </w:tabs>
        <w:spacing w:line="360" w:lineRule="auto"/>
        <w:jc w:val="both"/>
        <w:rPr>
          <w:rFonts w:ascii="Arial" w:eastAsia="Times New Roman" w:hAnsi="Arial" w:cs="Arial"/>
        </w:rPr>
      </w:pPr>
    </w:p>
    <w:p w14:paraId="14DB41BF" w14:textId="77777777" w:rsidR="00EA6933" w:rsidRPr="00EA6933" w:rsidRDefault="00EA6933" w:rsidP="00EA6933">
      <w:pPr>
        <w:numPr>
          <w:ilvl w:val="0"/>
          <w:numId w:val="5"/>
        </w:numPr>
        <w:tabs>
          <w:tab w:val="left" w:pos="567"/>
        </w:tabs>
        <w:spacing w:before="240" w:after="240" w:line="360" w:lineRule="auto"/>
        <w:ind w:left="567" w:hanging="567"/>
        <w:jc w:val="both"/>
        <w:rPr>
          <w:rFonts w:ascii="Arial" w:eastAsia="Times New Roman" w:hAnsi="Arial" w:cs="Arial"/>
          <w:b/>
          <w:sz w:val="24"/>
          <w:szCs w:val="24"/>
        </w:rPr>
      </w:pPr>
      <w:r w:rsidRPr="00EA6933">
        <w:rPr>
          <w:rFonts w:ascii="Arial" w:eastAsia="Times New Roman" w:hAnsi="Arial" w:cs="Arial"/>
          <w:b/>
          <w:sz w:val="24"/>
          <w:szCs w:val="24"/>
        </w:rPr>
        <w:lastRenderedPageBreak/>
        <w:t>OSNOVNI PODACI O DRUŠTVU KOMUNALAC d.o.o.</w:t>
      </w:r>
    </w:p>
    <w:p w14:paraId="3A7608AA" w14:textId="77777777" w:rsidR="00EA6933" w:rsidRPr="00EA6933" w:rsidRDefault="00EA6933" w:rsidP="00EA6933">
      <w:pPr>
        <w:spacing w:after="120" w:line="360" w:lineRule="auto"/>
        <w:jc w:val="both"/>
        <w:rPr>
          <w:rFonts w:ascii="Arial" w:eastAsia="Times New Roman" w:hAnsi="Arial" w:cs="Arial"/>
          <w:sz w:val="24"/>
          <w:szCs w:val="24"/>
        </w:rPr>
      </w:pPr>
      <w:bookmarkStart w:id="2" w:name="_Hlk137552767"/>
      <w:r w:rsidRPr="00EA6933">
        <w:rPr>
          <w:rFonts w:ascii="Arial" w:eastAsia="Times New Roman" w:hAnsi="Arial" w:cs="Arial"/>
          <w:sz w:val="24"/>
          <w:szCs w:val="24"/>
        </w:rPr>
        <w:t xml:space="preserve">Društvo Komunalac d.o.o. upisano je u sudski registar Trgovačkog suda u Zagrebu rješenjem br. Tt-97/4108-2 za održavanje čistoće, djelatnost sakupljanja otpada, djelatnost prijevoza otpada, djelatnost oporabe otpada, djelatnost druge obrade otpada, djelatnost zbrinjavanja otpada, gospodarenje otpadom, djelatnost trgovanja otpadom, održavanje javnih površina, održavanje nerazvrstanih cesta, javna rasvjeta, tržnica na malo, usluge u javnim parkiralištima i javnim garažama, iznajmljivanje vlastitih nekretnina, čišćenje svih vrsta objekata, upravljanje grobljima, održavanje groblja i obavljanje pogrebnih poslova, upravljanje nekretninama, projektiranje, građenje i nadzor, pružanje kolodvorskih usluga, proizvodnju proizvoda od metala, proizvodnju proizvoda od drva, obavljanje dimnjačarskih poslova i drugo. </w:t>
      </w:r>
    </w:p>
    <w:bookmarkEnd w:id="2"/>
    <w:p w14:paraId="5D373826"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Grad Samobor jedini je osnivač i stopostotni vlasnik, a Društvo je svrstano prema Zakonu o računovodstvu u srednje velike poduzetnike.</w:t>
      </w:r>
    </w:p>
    <w:p w14:paraId="2A71F434"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Sjedište Društva nalazi se u Ulici 151. samoborske brigade HV 2 u Samoboru.</w:t>
      </w:r>
    </w:p>
    <w:p w14:paraId="70B24608"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Organi upravljanja su Uprava, Nadzorni odbor i Skupština Društva.</w:t>
      </w:r>
    </w:p>
    <w:p w14:paraId="02358444" w14:textId="77777777" w:rsidR="00EA6933" w:rsidRPr="00EA6933" w:rsidRDefault="00EA6933" w:rsidP="00EA6933">
      <w:pPr>
        <w:numPr>
          <w:ilvl w:val="0"/>
          <w:numId w:val="5"/>
        </w:numPr>
        <w:tabs>
          <w:tab w:val="left" w:pos="567"/>
        </w:tabs>
        <w:spacing w:after="120" w:line="360" w:lineRule="auto"/>
        <w:ind w:left="567" w:hanging="567"/>
        <w:jc w:val="both"/>
        <w:rPr>
          <w:rFonts w:ascii="Arial" w:eastAsia="Times New Roman" w:hAnsi="Arial" w:cs="Arial"/>
          <w:b/>
          <w:sz w:val="24"/>
          <w:szCs w:val="24"/>
        </w:rPr>
      </w:pPr>
      <w:r w:rsidRPr="00EA6933">
        <w:rPr>
          <w:rFonts w:ascii="Arial" w:eastAsia="Times New Roman" w:hAnsi="Arial" w:cs="Arial"/>
          <w:b/>
          <w:sz w:val="24"/>
          <w:szCs w:val="24"/>
        </w:rPr>
        <w:br w:type="page"/>
      </w:r>
      <w:r w:rsidRPr="00EA6933">
        <w:rPr>
          <w:rFonts w:ascii="Arial" w:eastAsia="Times New Roman" w:hAnsi="Arial" w:cs="Arial"/>
          <w:b/>
          <w:sz w:val="24"/>
          <w:szCs w:val="24"/>
        </w:rPr>
        <w:lastRenderedPageBreak/>
        <w:t>OBJEKTIVAN PRIKAZ RAZVOJA I REZULTATA POSLOVANJA, OPIS GLAVNIH RIZIKA I NEIZVJESNOSTI I OBAVIJESTI O ZAŠTITI OKOLIŠA I RADNICIMA</w:t>
      </w:r>
    </w:p>
    <w:p w14:paraId="5A1FD2C8"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bCs/>
          <w:sz w:val="24"/>
          <w:szCs w:val="24"/>
        </w:rPr>
        <w:t xml:space="preserve">Poslovanje Društva u 2024. godini je u osnovi bilo nastavak dugoročnog procesa započetog 2022. godine i provođenog tijekom 2023. godine, s glavnim ciljem financijske i operativne stabilizacije poslovanja Društva. </w:t>
      </w:r>
      <w:r w:rsidRPr="00EA6933">
        <w:rPr>
          <w:rFonts w:ascii="Arial" w:eastAsia="Times New Roman" w:hAnsi="Arial" w:cs="Arial"/>
          <w:sz w:val="24"/>
          <w:szCs w:val="24"/>
        </w:rPr>
        <w:t xml:space="preserve">Osnovno obilježje poslovanja Društva u 2024. godini je ostvarenje pozitivnog financijskog poslovanja odnosno poslovanje s dobiti. To je nastavak pozitivnog financijskog poslovanja Društva koje je ostvareno i u prethodnoj poslovnoj godini. Pozitivno financijsko poslovanje Društva u periodu od dva uzastopna poslovna razdoblja je posebno bitna činjenica jer ukazuje da je trend poslovanja Društva usmjeren prema stabilnom financijskom poslovanju. Nakon financijskog kolapsa Društva, koje je kulminiralo u periodu 2020.-2021. godina kada je ostvaren gubitak u iznosu od cca 800.000 € te započetih procesa stabilizacije u 2022. i 2023. godini, Društvo je u 2024. godini uspjelo u potpunosti stabilizirati financijsko poslovanje i nastaviti s procesima podizanja operativne efikasnosti u svim segmentima poslovanja. </w:t>
      </w:r>
    </w:p>
    <w:p w14:paraId="11E637B3"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Osnovno obilježje financijskog poslovanja Društva u 2024. godini bila je kompletna racionalizacija poslovanja, kontrola troškova i rashoda u svakom segmentu poslovanja i maksimalna iskoristivost predviđenih sredstava iz programa održavanja grada Samobora i prihoda ostvarenih od pružanja usluga fizičkim i pravnim osobama. </w:t>
      </w:r>
    </w:p>
    <w:p w14:paraId="47F38DDE"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bCs/>
          <w:sz w:val="24"/>
          <w:szCs w:val="24"/>
        </w:rPr>
        <w:t>S obzirom da Društvo u svojem poslovanju ne djeluje na slobodnom tržištu (osim u segmentu upravljanja stambenim zgradama), već se bavi definiranim komunalnim djelatnostima u kojima je prihod u određenom obliku limitiran, naglasak poslovanja Društva je prioritetno na kontroli troškovne strane poslovanja što je i tijekom 2024. godine u potpunosti ostvareno, a što dokazuje činjenica da je konačni rezultat financijskog poslovanja bilo poslovanje s dobiti.</w:t>
      </w:r>
    </w:p>
    <w:p w14:paraId="65964E32"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Osnovno obilježje operativnog poslovanja Društva u 2024. godini bio je kontinuirani rad na podizanju operativne efikasnosti Društva. To je u osnovi nastavak procesa započetih krajem 2022. godine i tijekom 2023. godine s ciljem postizanja maksimalno moguće operativne efikasnosti. U 2024. godini Društvo je ostvarilo daljnji napredak u podizanju operativne efikasnosti u svim segmentima poslovanja. </w:t>
      </w:r>
    </w:p>
    <w:p w14:paraId="5242B81E" w14:textId="77777777" w:rsidR="00EA6933" w:rsidRPr="00EA6933" w:rsidRDefault="00EA6933" w:rsidP="00EA6933">
      <w:pPr>
        <w:spacing w:after="120" w:line="360" w:lineRule="auto"/>
        <w:jc w:val="both"/>
        <w:rPr>
          <w:rFonts w:ascii="Arial" w:eastAsia="Times New Roman" w:hAnsi="Arial" w:cs="Arial"/>
          <w:bCs/>
          <w:sz w:val="24"/>
          <w:szCs w:val="24"/>
        </w:rPr>
      </w:pPr>
    </w:p>
    <w:p w14:paraId="649E3C93" w14:textId="77777777" w:rsidR="00EA6933" w:rsidRPr="00EA6933" w:rsidRDefault="00EA6933" w:rsidP="00EA6933">
      <w:pPr>
        <w:spacing w:after="120" w:line="360" w:lineRule="auto"/>
        <w:jc w:val="both"/>
        <w:rPr>
          <w:rFonts w:ascii="Arial" w:eastAsia="Times New Roman" w:hAnsi="Arial" w:cs="Arial"/>
          <w:bCs/>
          <w:sz w:val="24"/>
          <w:szCs w:val="24"/>
        </w:rPr>
      </w:pPr>
      <w:r w:rsidRPr="00EA6933">
        <w:rPr>
          <w:rFonts w:ascii="Arial" w:eastAsia="Times New Roman" w:hAnsi="Arial" w:cs="Arial"/>
          <w:bCs/>
          <w:sz w:val="24"/>
          <w:szCs w:val="24"/>
        </w:rPr>
        <w:lastRenderedPageBreak/>
        <w:t xml:space="preserve">Društvo je tijekom 2024. godine bilo organizirano kroz tri osnovna organizacijska sektora – Sektor usluge održavanja grada, Sektor javne usluge i Sektor za ljudske potencijale i poslovnu podršku. Sektor usluge održavanja grada i Sektor javne usluge organizirani su kao profitni centri, a Sektor za ljudske potencijale i poslovnu podršku organiziran je kao troškovni centar. </w:t>
      </w:r>
    </w:p>
    <w:p w14:paraId="2586BFE7" w14:textId="77777777" w:rsidR="00EA6933" w:rsidRPr="00EA6933" w:rsidRDefault="00EA6933" w:rsidP="00EA6933">
      <w:pPr>
        <w:spacing w:after="120" w:line="360" w:lineRule="auto"/>
        <w:jc w:val="both"/>
        <w:rPr>
          <w:rFonts w:ascii="Arial" w:eastAsia="Times New Roman" w:hAnsi="Arial" w:cs="Arial"/>
          <w:bCs/>
          <w:sz w:val="24"/>
          <w:szCs w:val="24"/>
        </w:rPr>
      </w:pPr>
      <w:r w:rsidRPr="00EA6933">
        <w:rPr>
          <w:rFonts w:ascii="Arial" w:eastAsia="Times New Roman" w:hAnsi="Arial" w:cs="Arial"/>
          <w:bCs/>
          <w:sz w:val="24"/>
          <w:szCs w:val="24"/>
        </w:rPr>
        <w:t>Sektor usluge održavanja grada ostvaruje svoje prihode na temelju pružanja usluga održavanja grada Samobora kroz donesene godišnje programe. Sastoji se od Službe održavanja nerazvrstanih cesta, Službe održavanja javnih površina i prostora i Radne jedinice održavanja</w:t>
      </w:r>
      <w:r w:rsidRPr="00EA6933">
        <w:rPr>
          <w:rFonts w:ascii="Arial" w:eastAsia="Times New Roman" w:hAnsi="Arial" w:cs="Arial"/>
          <w:bCs/>
          <w:color w:val="FF0000"/>
          <w:sz w:val="24"/>
          <w:szCs w:val="24"/>
        </w:rPr>
        <w:t xml:space="preserve"> </w:t>
      </w:r>
      <w:r w:rsidRPr="00EA6933">
        <w:rPr>
          <w:rFonts w:ascii="Arial" w:eastAsia="Times New Roman" w:hAnsi="Arial" w:cs="Arial"/>
          <w:bCs/>
          <w:sz w:val="24"/>
          <w:szCs w:val="24"/>
        </w:rPr>
        <w:t>javne</w:t>
      </w:r>
      <w:r w:rsidRPr="00EA6933">
        <w:rPr>
          <w:rFonts w:ascii="Arial" w:eastAsia="Times New Roman" w:hAnsi="Arial" w:cs="Arial"/>
          <w:bCs/>
          <w:color w:val="FF0000"/>
          <w:sz w:val="24"/>
          <w:szCs w:val="24"/>
        </w:rPr>
        <w:t xml:space="preserve"> </w:t>
      </w:r>
      <w:r w:rsidRPr="00EA6933">
        <w:rPr>
          <w:rFonts w:ascii="Arial" w:eastAsia="Times New Roman" w:hAnsi="Arial" w:cs="Arial"/>
          <w:bCs/>
          <w:sz w:val="24"/>
          <w:szCs w:val="24"/>
        </w:rPr>
        <w:t>rasvjete.</w:t>
      </w:r>
    </w:p>
    <w:p w14:paraId="3D7CB4FE" w14:textId="77777777" w:rsidR="00EA6933" w:rsidRPr="00EA6933" w:rsidRDefault="00EA6933" w:rsidP="00EA6933">
      <w:pPr>
        <w:spacing w:after="120" w:line="360" w:lineRule="auto"/>
        <w:jc w:val="both"/>
        <w:rPr>
          <w:rFonts w:ascii="Arial" w:eastAsia="Times New Roman" w:hAnsi="Arial" w:cs="Arial"/>
          <w:bCs/>
          <w:sz w:val="24"/>
          <w:szCs w:val="24"/>
        </w:rPr>
      </w:pPr>
      <w:r w:rsidRPr="00EA6933">
        <w:rPr>
          <w:rFonts w:ascii="Arial" w:eastAsia="Times New Roman" w:hAnsi="Arial" w:cs="Arial"/>
          <w:bCs/>
          <w:sz w:val="24"/>
          <w:szCs w:val="24"/>
        </w:rPr>
        <w:t>Sektor javne usluge ostvaruje svoje prihode na temelju usluga koje se pružaju fizičkim i pravnim osobama na području grada Samobora. Sastoji se od Službe gospodarenja otpadom, Službe javne logistike (naplata parkinga, upravljanje stambenim zgradama, poslovi tržnice i sajmišta, dimnjačarski poslovi) i Odjela poslova groblja.</w:t>
      </w:r>
    </w:p>
    <w:p w14:paraId="74385753" w14:textId="77777777" w:rsidR="00EA6933" w:rsidRPr="00EA6933" w:rsidRDefault="00EA6933" w:rsidP="00EA6933">
      <w:pPr>
        <w:spacing w:after="120" w:line="360" w:lineRule="auto"/>
        <w:jc w:val="both"/>
        <w:rPr>
          <w:rFonts w:ascii="Arial" w:eastAsia="Times New Roman" w:hAnsi="Arial" w:cs="Arial"/>
          <w:bCs/>
          <w:sz w:val="24"/>
          <w:szCs w:val="24"/>
        </w:rPr>
      </w:pPr>
      <w:r w:rsidRPr="00EA6933">
        <w:rPr>
          <w:rFonts w:ascii="Arial" w:eastAsia="Times New Roman" w:hAnsi="Arial" w:cs="Arial"/>
          <w:bCs/>
          <w:sz w:val="24"/>
          <w:szCs w:val="24"/>
        </w:rPr>
        <w:t>Sektor za ljudske potencijale i poslovnu podršku je u osnovi logistička podrška operativnom poslovanju. Sastoji se od ljudskih resursa, pravnih poslova, nabave, projektnog odjela, servisne radionice i ostale podrške poslovanju.</w:t>
      </w:r>
    </w:p>
    <w:p w14:paraId="307B104D"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 xml:space="preserve">Poseban naglasak u poslovanju Društva usmjeren je na brigu za zaposlenike u smislu njihovih materijalnih i ostalih prava. S obzirom na djelatnosti kojima se u osnovi bavi Društvo, a to su operativne komunalne djelatnosti i za takve vrste poslova je prije svega potreban fizički rad, zaposlenici Društva su najvrjednija „imovina“ Društva. Sukladno tome, treba istaknuti da je u 2024. godini osnovica za obračun plaće podignuta s bruto iznosa 380 € na iznos od bruto 500 € što je povećanje od 120 € odnosno 31,57%. Povećanje bruto osnovice za izračun plaće najveće je povećanje u odnosu na sva prethodna razdoblja i nastavak poslovne politike u kojoj su zaposlenik i njegova uloga stavljeni u centar vrijednosti Društva. Također se nastavilo s praksom iz prethodnih razdoblja vezano uz nabavu potrebne radne i zaštitne opreme za radnike. </w:t>
      </w:r>
    </w:p>
    <w:p w14:paraId="7C2D2B44"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 xml:space="preserve">Najznačajniji vanjski utjecaj na poslovanje Društva tijekom 2024. godine bio je prisutan kroz globalni utjecaj na sva tržišta zbog raznih izvanrednih događaja koji su izazvali krize u pojedinim segmentima tržišta, a koji su onda direktno utjecali na cijene sirovina i energenata, što se u konačnici manifestiralo kroz povećanje cijena konačnih proizvoda koje Društvo koristi u svim segmentima operativne djelatnosti. </w:t>
      </w:r>
    </w:p>
    <w:p w14:paraId="6BE1D2FA"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p>
    <w:p w14:paraId="5167A3A6"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lastRenderedPageBreak/>
        <w:t>Najveći faktor unutarnjeg utjecaja na poslovanje Društva bio je prisutan na tržištu rada, odnosno u zapošljavanju operativnog kadra za sve segmente poslovanja. Iako je Društvo u 2024. godini povećalo primanja zaposlenika i na taj način postalo konkurentnije na tržištu rada, još uvijek postoji problem zapošljavanja operativnih zaposlenika. Iz toga razloga Društvo je tijekom 2024. godine zaposlilo određeni broj stranih radnika u operativnom segmentu.</w:t>
      </w:r>
    </w:p>
    <w:p w14:paraId="0FFE07A0"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 xml:space="preserve">Tijekom 2024. godine Društvo je značajno ulagalo u vozila, opremu i strojeve sukladno potrebama pojedinih organizacijskih jedinica, a u cilju ostvarenja svih operativnih ciljeva poslovanja i smanjenja troškova održavanja vozila, opreme i strojeva. Ukupno ulaganje kretalo se na razini 1,77 milijuna €. </w:t>
      </w:r>
    </w:p>
    <w:p w14:paraId="1F774351" w14:textId="77777777" w:rsidR="00EA6933" w:rsidRPr="00EA6933" w:rsidRDefault="00EA6933" w:rsidP="00EA6933">
      <w:pPr>
        <w:tabs>
          <w:tab w:val="left" w:pos="993"/>
        </w:tabs>
        <w:spacing w:after="120" w:line="360" w:lineRule="auto"/>
        <w:jc w:val="both"/>
        <w:rPr>
          <w:rFonts w:ascii="Arial" w:eastAsia="Times New Roman" w:hAnsi="Arial" w:cs="Arial"/>
          <w:sz w:val="24"/>
          <w:szCs w:val="24"/>
          <w:lang w:eastAsia="hr-HR"/>
        </w:rPr>
      </w:pPr>
      <w:r w:rsidRPr="00EA6933">
        <w:rPr>
          <w:rFonts w:ascii="Arial" w:eastAsia="Times New Roman" w:hAnsi="Arial" w:cs="Arial"/>
          <w:bCs/>
          <w:sz w:val="24"/>
          <w:szCs w:val="24"/>
          <w:lang w:eastAsia="hr-HR"/>
        </w:rPr>
        <w:t xml:space="preserve">Kao zaključak, možemo utvrditi da se u 2024. godini Društvo suočavalo s rizičnim i izazovnim poslovnim okruženjem, raznim vanjskim i unutarnjim utjecajima, ali da je Društvo ispunilo sve zadane financijske i operativne ciljeve, prvenstveno kroz kontrolu troškova i racionalizaciju poslovanja, podizanje operativne efikasnosti i ispunjenje svih zadanih programa održavanja grada Samobora, kao i pružanja ostalih usluga fizičkim i pravnim osobama. Posebno treba istaknuti da je u 2024. godini nastavljen trend pozitivnog financijskog poslovanja Društva i da se na taj način uspješno provodi dugoročni strateški plan stabilizacije financijskog poslovanja Društva. </w:t>
      </w:r>
      <w:r w:rsidRPr="00EA6933">
        <w:rPr>
          <w:rFonts w:ascii="Arial" w:eastAsia="Times New Roman" w:hAnsi="Arial" w:cs="Arial"/>
          <w:sz w:val="24"/>
          <w:szCs w:val="24"/>
          <w:lang w:eastAsia="hr-HR"/>
        </w:rPr>
        <w:t>Poslovna godina za Društvo je u konačnici bila pozitivna poslovna godina prvenstveno zbog ostvarenja svih zadanih financijskih i operativnih ciljeva, a istovremeno je ostvarena financijska dobit u poslovanju što je najbolji pokazatelj uspješnosti poslovanja Društva u 2024. godini. Sve navedeno predstavlja temelj za daljnje pozitivno poslovanje i ostvarivanje glavnog strateškog poslovnog cilja Društva, a to je kontinuirano pozitivno i stabilno financijsko poslovanje sa stalnim podizanjem operativne učinkovitosti u smjeru postizanja maksimalne iskoristivosti.</w:t>
      </w:r>
      <w:bookmarkStart w:id="3" w:name="_Hlk137310014"/>
    </w:p>
    <w:p w14:paraId="3D5E4B20"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b/>
          <w:bCs/>
          <w:sz w:val="24"/>
          <w:szCs w:val="24"/>
        </w:rPr>
        <w:t>Ukupni prihod</w:t>
      </w:r>
      <w:r w:rsidRPr="00EA6933">
        <w:rPr>
          <w:rFonts w:ascii="Arial" w:eastAsia="Times New Roman" w:hAnsi="Arial" w:cs="Arial"/>
          <w:sz w:val="24"/>
          <w:szCs w:val="24"/>
        </w:rPr>
        <w:t xml:space="preserve"> u 2024. godini ostvaren je u iznosu od </w:t>
      </w:r>
      <w:r w:rsidRPr="00EA6933">
        <w:rPr>
          <w:rFonts w:ascii="Arial" w:eastAsia="Times New Roman" w:hAnsi="Arial" w:cs="Arial"/>
          <w:b/>
          <w:bCs/>
          <w:color w:val="000000"/>
          <w:sz w:val="24"/>
          <w:szCs w:val="24"/>
        </w:rPr>
        <w:t xml:space="preserve">16.395.777 €. </w:t>
      </w:r>
      <w:r w:rsidRPr="00EA6933">
        <w:rPr>
          <w:rFonts w:ascii="Arial" w:eastAsia="Times New Roman" w:hAnsi="Arial" w:cs="Arial"/>
          <w:color w:val="000000"/>
          <w:sz w:val="24"/>
          <w:szCs w:val="24"/>
        </w:rPr>
        <w:t xml:space="preserve">Ukupni prihod u 2023. godini ostvaren je u iznosu od </w:t>
      </w:r>
      <w:r w:rsidRPr="00EA6933">
        <w:rPr>
          <w:rFonts w:ascii="Arial" w:eastAsia="Times New Roman" w:hAnsi="Arial" w:cs="Arial"/>
          <w:b/>
          <w:bCs/>
          <w:color w:val="000000"/>
          <w:sz w:val="24"/>
          <w:szCs w:val="24"/>
        </w:rPr>
        <w:t>12.880.949 €</w:t>
      </w:r>
      <w:r w:rsidRPr="00EA6933">
        <w:rPr>
          <w:rFonts w:ascii="Arial" w:eastAsia="Times New Roman" w:hAnsi="Arial" w:cs="Arial"/>
          <w:color w:val="000000"/>
          <w:sz w:val="24"/>
          <w:szCs w:val="24"/>
        </w:rPr>
        <w:t>.</w:t>
      </w:r>
      <w:r w:rsidRPr="00EA6933">
        <w:rPr>
          <w:rFonts w:ascii="Arial" w:eastAsia="Times New Roman" w:hAnsi="Arial" w:cs="Arial"/>
          <w:b/>
          <w:bCs/>
          <w:color w:val="000000"/>
          <w:sz w:val="24"/>
          <w:szCs w:val="24"/>
        </w:rPr>
        <w:t xml:space="preserve"> </w:t>
      </w:r>
      <w:r w:rsidRPr="00EA6933">
        <w:rPr>
          <w:rFonts w:ascii="Arial" w:eastAsia="Times New Roman" w:hAnsi="Arial" w:cs="Arial"/>
          <w:color w:val="000000"/>
          <w:sz w:val="24"/>
          <w:szCs w:val="24"/>
        </w:rPr>
        <w:t xml:space="preserve">U 2024. godini, u odnosu na 2023. godinu, ostvaren je veći ukupni prihod u iznosu od </w:t>
      </w:r>
      <w:r w:rsidRPr="00EA6933">
        <w:rPr>
          <w:rFonts w:ascii="Arial" w:eastAsia="Times New Roman" w:hAnsi="Arial" w:cs="Arial"/>
          <w:b/>
          <w:bCs/>
          <w:color w:val="000000"/>
          <w:sz w:val="24"/>
          <w:szCs w:val="24"/>
        </w:rPr>
        <w:t xml:space="preserve">3.514.828 € </w:t>
      </w:r>
      <w:r w:rsidRPr="00EA6933">
        <w:rPr>
          <w:rFonts w:ascii="Arial" w:eastAsia="Times New Roman" w:hAnsi="Arial" w:cs="Arial"/>
          <w:color w:val="000000"/>
          <w:sz w:val="24"/>
          <w:szCs w:val="24"/>
        </w:rPr>
        <w:t xml:space="preserve">odnosno ukupni prihod povećan je za </w:t>
      </w:r>
      <w:r w:rsidRPr="00EA6933">
        <w:rPr>
          <w:rFonts w:ascii="Arial" w:eastAsia="Times New Roman" w:hAnsi="Arial" w:cs="Arial"/>
          <w:b/>
          <w:bCs/>
          <w:color w:val="000000"/>
          <w:sz w:val="24"/>
          <w:szCs w:val="24"/>
        </w:rPr>
        <w:t>27,29 %.</w:t>
      </w:r>
    </w:p>
    <w:p w14:paraId="6574D627"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b/>
          <w:bCs/>
          <w:sz w:val="24"/>
          <w:szCs w:val="24"/>
        </w:rPr>
        <w:t>Ukupni rashod</w:t>
      </w:r>
      <w:r w:rsidRPr="00EA6933">
        <w:rPr>
          <w:rFonts w:ascii="Arial" w:eastAsia="Times New Roman" w:hAnsi="Arial" w:cs="Arial"/>
          <w:sz w:val="24"/>
          <w:szCs w:val="24"/>
        </w:rPr>
        <w:t xml:space="preserve"> u 2024. godini ostvaren je u iznosu od </w:t>
      </w:r>
      <w:r w:rsidRPr="00EA6933">
        <w:rPr>
          <w:rFonts w:ascii="Arial" w:eastAsia="Times New Roman" w:hAnsi="Arial" w:cs="Arial"/>
          <w:b/>
          <w:bCs/>
          <w:sz w:val="24"/>
          <w:szCs w:val="24"/>
        </w:rPr>
        <w:t xml:space="preserve">16.346.210 €. </w:t>
      </w:r>
      <w:r w:rsidRPr="00EA6933">
        <w:rPr>
          <w:rFonts w:ascii="Arial" w:eastAsia="Times New Roman" w:hAnsi="Arial" w:cs="Arial"/>
          <w:sz w:val="24"/>
          <w:szCs w:val="24"/>
        </w:rPr>
        <w:t xml:space="preserve">Ukupni rashod u 2023. godini ostvaren je u iznosu od </w:t>
      </w:r>
      <w:r w:rsidRPr="00EA6933">
        <w:rPr>
          <w:rFonts w:ascii="Arial" w:eastAsia="Times New Roman" w:hAnsi="Arial" w:cs="Arial"/>
          <w:b/>
          <w:bCs/>
          <w:sz w:val="24"/>
          <w:szCs w:val="24"/>
        </w:rPr>
        <w:t>12.875.513 €</w:t>
      </w:r>
      <w:r w:rsidRPr="00EA6933">
        <w:rPr>
          <w:rFonts w:ascii="Arial" w:eastAsia="Times New Roman" w:hAnsi="Arial" w:cs="Arial"/>
          <w:sz w:val="24"/>
          <w:szCs w:val="24"/>
        </w:rPr>
        <w:t xml:space="preserve">. U 2024. godini, u odnosu na 2023. </w:t>
      </w:r>
      <w:r w:rsidRPr="00EA6933">
        <w:rPr>
          <w:rFonts w:ascii="Arial" w:eastAsia="Times New Roman" w:hAnsi="Arial" w:cs="Arial"/>
          <w:sz w:val="24"/>
          <w:szCs w:val="24"/>
        </w:rPr>
        <w:lastRenderedPageBreak/>
        <w:t xml:space="preserve">godinu, ostvaren je veći ukupni rashod u iznosu od </w:t>
      </w:r>
      <w:r w:rsidRPr="00EA6933">
        <w:rPr>
          <w:rFonts w:ascii="Arial" w:eastAsia="Times New Roman" w:hAnsi="Arial" w:cs="Arial"/>
          <w:b/>
          <w:bCs/>
          <w:color w:val="000000"/>
          <w:sz w:val="24"/>
          <w:szCs w:val="24"/>
        </w:rPr>
        <w:t>3.470.697</w:t>
      </w:r>
      <w:r w:rsidRPr="00EA6933">
        <w:rPr>
          <w:rFonts w:ascii="Arial" w:eastAsia="Times New Roman" w:hAnsi="Arial" w:cs="Arial"/>
          <w:sz w:val="24"/>
          <w:szCs w:val="24"/>
        </w:rPr>
        <w:t xml:space="preserve"> </w:t>
      </w:r>
      <w:r w:rsidRPr="00EA6933">
        <w:rPr>
          <w:rFonts w:ascii="Arial" w:eastAsia="Times New Roman" w:hAnsi="Arial" w:cs="Arial"/>
          <w:b/>
          <w:bCs/>
          <w:sz w:val="24"/>
          <w:szCs w:val="24"/>
        </w:rPr>
        <w:t>€</w:t>
      </w:r>
      <w:r w:rsidRPr="00EA6933">
        <w:rPr>
          <w:rFonts w:ascii="Arial" w:eastAsia="Times New Roman" w:hAnsi="Arial" w:cs="Arial"/>
          <w:sz w:val="24"/>
          <w:szCs w:val="24"/>
        </w:rPr>
        <w:t xml:space="preserve"> odnosno ukupni rashod povećan je za </w:t>
      </w:r>
      <w:r w:rsidRPr="00EA6933">
        <w:rPr>
          <w:rFonts w:ascii="Arial" w:eastAsia="Times New Roman" w:hAnsi="Arial" w:cs="Arial"/>
          <w:b/>
          <w:bCs/>
          <w:sz w:val="24"/>
          <w:szCs w:val="24"/>
        </w:rPr>
        <w:t>26,96%</w:t>
      </w:r>
      <w:r w:rsidRPr="00EA6933">
        <w:rPr>
          <w:rFonts w:ascii="Arial" w:eastAsia="Times New Roman" w:hAnsi="Arial" w:cs="Arial"/>
          <w:sz w:val="24"/>
          <w:szCs w:val="24"/>
        </w:rPr>
        <w:t>.</w:t>
      </w:r>
    </w:p>
    <w:p w14:paraId="4E48739A" w14:textId="77777777" w:rsidR="00EA6933" w:rsidRPr="00EA6933" w:rsidRDefault="00EA6933" w:rsidP="00EA6933">
      <w:pPr>
        <w:spacing w:after="120" w:line="360" w:lineRule="auto"/>
        <w:jc w:val="both"/>
        <w:rPr>
          <w:rFonts w:ascii="Arial" w:eastAsia="Times New Roman" w:hAnsi="Arial" w:cs="Arial"/>
          <w:color w:val="000000"/>
          <w:sz w:val="24"/>
          <w:szCs w:val="24"/>
        </w:rPr>
      </w:pPr>
      <w:r w:rsidRPr="00EA6933">
        <w:rPr>
          <w:rFonts w:ascii="Arial" w:eastAsia="Times New Roman" w:hAnsi="Arial" w:cs="Arial"/>
          <w:color w:val="000000"/>
          <w:sz w:val="24"/>
          <w:szCs w:val="24"/>
        </w:rPr>
        <w:t xml:space="preserve">U 2024. godini ostvarena je dobit u iznosu od </w:t>
      </w:r>
      <w:r w:rsidRPr="00EA6933">
        <w:rPr>
          <w:rFonts w:ascii="Arial" w:eastAsia="Times New Roman" w:hAnsi="Arial" w:cs="Arial"/>
          <w:b/>
          <w:bCs/>
          <w:sz w:val="24"/>
          <w:szCs w:val="24"/>
        </w:rPr>
        <w:t>49.567 €</w:t>
      </w:r>
      <w:r w:rsidRPr="00EA6933">
        <w:rPr>
          <w:rFonts w:ascii="Arial" w:eastAsia="Times New Roman" w:hAnsi="Arial" w:cs="Arial"/>
          <w:sz w:val="24"/>
          <w:szCs w:val="24"/>
        </w:rPr>
        <w:t xml:space="preserve">. U 2023. godini ostvarena je dobit u iznosu </w:t>
      </w:r>
      <w:r w:rsidRPr="00EA6933">
        <w:rPr>
          <w:rFonts w:ascii="Arial" w:eastAsia="Times New Roman" w:hAnsi="Arial" w:cs="Arial"/>
          <w:b/>
          <w:bCs/>
          <w:sz w:val="24"/>
          <w:szCs w:val="24"/>
        </w:rPr>
        <w:t xml:space="preserve">5.436 €. </w:t>
      </w:r>
    </w:p>
    <w:p w14:paraId="4C87C831"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U strukturi „</w:t>
      </w:r>
      <w:r w:rsidRPr="00EA6933">
        <w:rPr>
          <w:rFonts w:ascii="Arial" w:eastAsia="Times New Roman" w:hAnsi="Arial" w:cs="Arial"/>
          <w:b/>
          <w:bCs/>
          <w:sz w:val="24"/>
          <w:szCs w:val="24"/>
        </w:rPr>
        <w:t>Ukupnog prihoda“</w:t>
      </w:r>
      <w:r w:rsidRPr="00EA6933">
        <w:rPr>
          <w:rFonts w:ascii="Arial" w:eastAsia="Times New Roman" w:hAnsi="Arial" w:cs="Arial"/>
          <w:sz w:val="24"/>
          <w:szCs w:val="24"/>
        </w:rPr>
        <w:t xml:space="preserve"> u 2024. godini, najveći prihod realiziran je u grupi prihoda </w:t>
      </w:r>
      <w:r w:rsidRPr="00EA6933">
        <w:rPr>
          <w:rFonts w:ascii="Arial" w:eastAsia="Times New Roman" w:hAnsi="Arial" w:cs="Arial"/>
          <w:b/>
          <w:bCs/>
          <w:sz w:val="24"/>
          <w:szCs w:val="24"/>
        </w:rPr>
        <w:t>„Prihod-Sektor usluge održavanja grada“</w:t>
      </w:r>
      <w:r w:rsidRPr="00EA6933">
        <w:rPr>
          <w:rFonts w:ascii="Arial" w:eastAsia="Times New Roman" w:hAnsi="Arial" w:cs="Arial"/>
          <w:sz w:val="24"/>
          <w:szCs w:val="24"/>
        </w:rPr>
        <w:t xml:space="preserve"> koji se ostvaruju iz proračuna Grada Samobora u skladu s usvojenim cjelovitim programom održavanja komunalne infrastrukture u gradu Samoboru za tekuću godinu, odnosno usvojenim pojedinačnim programima redovnog i izvanrednog održavanja nerazvrstanih cesta, održavanja javnih površina i održavanja javne rasvjete, a u 2024. godini realiziran je u iznosu od </w:t>
      </w:r>
      <w:r w:rsidRPr="00EA6933">
        <w:rPr>
          <w:rFonts w:ascii="Arial" w:eastAsia="Times New Roman" w:hAnsi="Arial" w:cs="Arial"/>
          <w:b/>
          <w:bCs/>
          <w:sz w:val="24"/>
          <w:szCs w:val="24"/>
        </w:rPr>
        <w:t>11.698.749 €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71,35%</w:t>
      </w:r>
      <w:r w:rsidRPr="00EA6933">
        <w:rPr>
          <w:rFonts w:ascii="Arial" w:eastAsia="Times New Roman" w:hAnsi="Arial" w:cs="Arial"/>
          <w:sz w:val="24"/>
          <w:szCs w:val="24"/>
        </w:rPr>
        <w:t xml:space="preserve"> od ukupnog prihoda ostvarenog u 2024. godini. </w:t>
      </w:r>
    </w:p>
    <w:p w14:paraId="1017D333" w14:textId="77777777" w:rsidR="00EA6933" w:rsidRPr="00EA6933" w:rsidRDefault="00EA6933" w:rsidP="00EA6933">
      <w:pPr>
        <w:spacing w:after="120" w:line="360" w:lineRule="auto"/>
        <w:jc w:val="both"/>
        <w:rPr>
          <w:rFonts w:ascii="Arial" w:eastAsia="Times New Roman" w:hAnsi="Arial" w:cs="Arial"/>
          <w:color w:val="000000"/>
          <w:sz w:val="24"/>
          <w:szCs w:val="24"/>
        </w:rPr>
      </w:pPr>
      <w:r w:rsidRPr="00EA6933">
        <w:rPr>
          <w:rFonts w:ascii="Arial" w:eastAsia="Times New Roman" w:hAnsi="Arial" w:cs="Arial"/>
          <w:sz w:val="24"/>
          <w:szCs w:val="24"/>
        </w:rPr>
        <w:t xml:space="preserve">Nakon toga slijedi grupa prihoda </w:t>
      </w:r>
      <w:r w:rsidRPr="00EA6933">
        <w:rPr>
          <w:rFonts w:ascii="Arial" w:eastAsia="Times New Roman" w:hAnsi="Arial" w:cs="Arial"/>
          <w:b/>
          <w:bCs/>
          <w:sz w:val="24"/>
          <w:szCs w:val="24"/>
        </w:rPr>
        <w:t>„Prihod-Sektor javne usluge“</w:t>
      </w:r>
      <w:r w:rsidRPr="00EA6933">
        <w:rPr>
          <w:rFonts w:ascii="Arial" w:eastAsia="Times New Roman" w:hAnsi="Arial" w:cs="Arial"/>
          <w:sz w:val="24"/>
          <w:szCs w:val="24"/>
        </w:rPr>
        <w:t xml:space="preserve"> koji se ostvaruju obavljajući komunalne i ostale djelatnosti koje se fakturiraju fizičkim i pravnim osobama na području grada Samobora (gospodarenje otpadom, grobna naknada, usluge ukopa, prodaja pogrebne opreme, prodaja grobnih okvira i kazeti za urne, naplata parkinga, usluga najma na tržnici i sajmištu, naknada upravitelju za poslove upravljanja stambenim zgradama i dimnjačarski poslovi), a u 2024. godini realiziran je u iznosu od </w:t>
      </w:r>
      <w:r w:rsidRPr="00EA6933">
        <w:rPr>
          <w:rFonts w:ascii="Arial" w:eastAsia="Times New Roman" w:hAnsi="Arial" w:cs="Arial"/>
          <w:b/>
          <w:bCs/>
          <w:sz w:val="24"/>
          <w:szCs w:val="24"/>
        </w:rPr>
        <w:t>3.910.013 €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23,85%</w:t>
      </w:r>
      <w:r w:rsidRPr="00EA6933">
        <w:rPr>
          <w:rFonts w:ascii="Arial" w:eastAsia="Times New Roman" w:hAnsi="Arial" w:cs="Arial"/>
          <w:sz w:val="24"/>
          <w:szCs w:val="24"/>
        </w:rPr>
        <w:t xml:space="preserve"> od ukupnog prihoda ostvarenog u 2024. godini. </w:t>
      </w:r>
    </w:p>
    <w:p w14:paraId="7D0E055E"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Grupa prihoda </w:t>
      </w:r>
      <w:r w:rsidRPr="00EA6933">
        <w:rPr>
          <w:rFonts w:ascii="Arial" w:eastAsia="Times New Roman" w:hAnsi="Arial" w:cs="Arial"/>
          <w:b/>
          <w:bCs/>
          <w:sz w:val="24"/>
          <w:szCs w:val="24"/>
        </w:rPr>
        <w:t>„Ostali poslovni prihodi“</w:t>
      </w:r>
      <w:r w:rsidRPr="00EA6933">
        <w:rPr>
          <w:rFonts w:ascii="Arial" w:eastAsia="Times New Roman" w:hAnsi="Arial" w:cs="Arial"/>
          <w:sz w:val="24"/>
          <w:szCs w:val="24"/>
        </w:rPr>
        <w:t xml:space="preserve"> su prihodi koji se ostvaruju obavljajući ostale poslovne djelatnosti (prihod od elektroničke obrade podataka, prihod od prodaje dugotrajne imovine, prihod s osnova besplatnog primitka sredstava, prihod od refundacija i subvencija, prihod od otpisanih naplaćenih potraživanja), a u 2024. godini realiziran je u iznosu od </w:t>
      </w:r>
      <w:r w:rsidRPr="00EA6933">
        <w:rPr>
          <w:rFonts w:ascii="Arial" w:eastAsia="Times New Roman" w:hAnsi="Arial" w:cs="Arial"/>
          <w:b/>
          <w:bCs/>
          <w:sz w:val="24"/>
          <w:szCs w:val="24"/>
        </w:rPr>
        <w:t xml:space="preserve">772.475 € </w:t>
      </w:r>
      <w:r w:rsidRPr="00EA6933">
        <w:rPr>
          <w:rFonts w:ascii="Arial" w:eastAsia="Times New Roman" w:hAnsi="Arial" w:cs="Arial"/>
          <w:sz w:val="24"/>
          <w:szCs w:val="24"/>
        </w:rPr>
        <w:t xml:space="preserve">i ima udio u iznosu </w:t>
      </w:r>
      <w:r w:rsidRPr="00EA6933">
        <w:rPr>
          <w:rFonts w:ascii="Arial" w:eastAsia="Times New Roman" w:hAnsi="Arial" w:cs="Arial"/>
          <w:b/>
          <w:bCs/>
          <w:sz w:val="24"/>
          <w:szCs w:val="24"/>
        </w:rPr>
        <w:t>4,71%</w:t>
      </w:r>
      <w:r w:rsidRPr="00EA6933">
        <w:rPr>
          <w:rFonts w:ascii="Arial" w:eastAsia="Times New Roman" w:hAnsi="Arial" w:cs="Arial"/>
          <w:sz w:val="24"/>
          <w:szCs w:val="24"/>
        </w:rPr>
        <w:t xml:space="preserve"> od ukupnog prihoda ostvarenog u 2024. godini.</w:t>
      </w:r>
    </w:p>
    <w:p w14:paraId="1DF0F00B" w14:textId="77777777" w:rsidR="00EA6933" w:rsidRPr="00EA6933" w:rsidRDefault="00EA6933" w:rsidP="00EA6933">
      <w:pPr>
        <w:spacing w:after="120" w:line="360" w:lineRule="auto"/>
        <w:jc w:val="both"/>
        <w:rPr>
          <w:rFonts w:ascii="Arial" w:eastAsia="Times New Roman" w:hAnsi="Arial" w:cs="Arial"/>
          <w:color w:val="000000"/>
          <w:sz w:val="24"/>
          <w:szCs w:val="24"/>
        </w:rPr>
      </w:pPr>
    </w:p>
    <w:p w14:paraId="3F35AA71" w14:textId="77777777" w:rsidR="00EA6933" w:rsidRPr="00EA6933" w:rsidRDefault="00EA6933" w:rsidP="00EA6933">
      <w:pPr>
        <w:spacing w:after="120" w:line="360" w:lineRule="auto"/>
        <w:jc w:val="both"/>
        <w:rPr>
          <w:rFonts w:ascii="Arial" w:eastAsia="Times New Roman" w:hAnsi="Arial" w:cs="Arial"/>
          <w:color w:val="000000"/>
          <w:sz w:val="24"/>
          <w:szCs w:val="24"/>
        </w:rPr>
      </w:pPr>
    </w:p>
    <w:p w14:paraId="08D87FBB" w14:textId="77777777" w:rsidR="00EA6933" w:rsidRPr="00EA6933" w:rsidRDefault="00EA6933" w:rsidP="00EA6933">
      <w:pPr>
        <w:spacing w:after="120" w:line="360" w:lineRule="auto"/>
        <w:jc w:val="both"/>
        <w:rPr>
          <w:rFonts w:ascii="Arial" w:eastAsia="Times New Roman" w:hAnsi="Arial" w:cs="Arial"/>
          <w:color w:val="000000"/>
          <w:sz w:val="24"/>
          <w:szCs w:val="24"/>
        </w:rPr>
      </w:pPr>
    </w:p>
    <w:p w14:paraId="74A8D1C4" w14:textId="77777777" w:rsidR="00EA6933" w:rsidRPr="00EA6933" w:rsidRDefault="00EA6933" w:rsidP="00EA6933">
      <w:pPr>
        <w:spacing w:after="120" w:line="360" w:lineRule="auto"/>
        <w:jc w:val="both"/>
        <w:rPr>
          <w:rFonts w:ascii="Arial" w:eastAsia="Times New Roman" w:hAnsi="Arial" w:cs="Arial"/>
          <w:color w:val="000000"/>
          <w:sz w:val="24"/>
          <w:szCs w:val="24"/>
        </w:rPr>
      </w:pPr>
    </w:p>
    <w:p w14:paraId="0B844C2F" w14:textId="77777777" w:rsidR="00EA6933" w:rsidRPr="00EA6933" w:rsidRDefault="00EA6933" w:rsidP="00EA6933">
      <w:pPr>
        <w:spacing w:after="120" w:line="360" w:lineRule="auto"/>
        <w:jc w:val="both"/>
        <w:rPr>
          <w:rFonts w:ascii="Arial" w:eastAsia="Times New Roman" w:hAnsi="Arial" w:cs="Arial"/>
          <w:color w:val="000000"/>
          <w:sz w:val="24"/>
          <w:szCs w:val="24"/>
        </w:rPr>
      </w:pPr>
    </w:p>
    <w:p w14:paraId="6D6B63D7" w14:textId="77777777" w:rsidR="00EA6933" w:rsidRPr="00EA6933" w:rsidRDefault="00EA6933" w:rsidP="00EA6933">
      <w:pPr>
        <w:spacing w:after="120" w:line="360" w:lineRule="auto"/>
        <w:jc w:val="both"/>
        <w:rPr>
          <w:rFonts w:ascii="Arial" w:eastAsia="Times New Roman" w:hAnsi="Arial" w:cs="Arial"/>
          <w:color w:val="000000"/>
          <w:sz w:val="24"/>
          <w:szCs w:val="24"/>
        </w:rPr>
      </w:pPr>
    </w:p>
    <w:p w14:paraId="2F37C13D" w14:textId="77777777" w:rsidR="00EA6933" w:rsidRPr="00EA6933" w:rsidRDefault="00EA6933" w:rsidP="00EA6933">
      <w:pPr>
        <w:numPr>
          <w:ilvl w:val="0"/>
          <w:numId w:val="14"/>
        </w:numPr>
        <w:spacing w:before="120" w:after="120" w:line="240" w:lineRule="auto"/>
        <w:ind w:left="0" w:firstLine="0"/>
        <w:jc w:val="both"/>
        <w:rPr>
          <w:rFonts w:ascii="Arial" w:eastAsia="Times New Roman" w:hAnsi="Arial" w:cs="Arial"/>
          <w:b/>
          <w:bCs/>
          <w:sz w:val="20"/>
          <w:szCs w:val="20"/>
          <w:lang w:eastAsia="hr-HR"/>
        </w:rPr>
      </w:pPr>
      <w:r w:rsidRPr="00EA6933">
        <w:rPr>
          <w:rFonts w:ascii="Arial" w:eastAsia="Times New Roman" w:hAnsi="Arial" w:cs="Arial"/>
          <w:b/>
          <w:bCs/>
          <w:sz w:val="20"/>
          <w:szCs w:val="20"/>
          <w:lang w:eastAsia="hr-HR"/>
        </w:rPr>
        <w:lastRenderedPageBreak/>
        <w:t>Dijagram 1. Struktura grupe prihoda u grupi „Ukupni prihod“-2024. godina</w:t>
      </w:r>
    </w:p>
    <w:p w14:paraId="08FD1C5A" w14:textId="77777777" w:rsidR="00EA6933" w:rsidRPr="00EA6933" w:rsidRDefault="00EA6933" w:rsidP="00EA6933">
      <w:pPr>
        <w:numPr>
          <w:ilvl w:val="0"/>
          <w:numId w:val="14"/>
        </w:numPr>
        <w:spacing w:before="120" w:after="120" w:line="240" w:lineRule="auto"/>
        <w:ind w:left="0" w:firstLine="0"/>
        <w:jc w:val="both"/>
        <w:rPr>
          <w:rFonts w:ascii="Arial" w:eastAsia="Times New Roman" w:hAnsi="Arial" w:cs="Arial"/>
          <w:b/>
          <w:bCs/>
          <w:sz w:val="20"/>
          <w:szCs w:val="20"/>
          <w:lang w:eastAsia="hr-HR"/>
        </w:rPr>
      </w:pPr>
      <w:r w:rsidRPr="00EA6933">
        <w:rPr>
          <w:rFonts w:ascii="Arial" w:eastAsia="Times New Roman" w:hAnsi="Arial" w:cs="Arial"/>
          <w:b/>
          <w:bCs/>
          <w:noProof/>
          <w:sz w:val="20"/>
          <w:szCs w:val="20"/>
          <w:lang w:eastAsia="hr-HR"/>
        </w:rPr>
        <w:drawing>
          <wp:inline distT="0" distB="0" distL="0" distR="0" wp14:anchorId="622BF293" wp14:editId="0788EB7D">
            <wp:extent cx="5572125" cy="3752850"/>
            <wp:effectExtent l="0" t="0" r="9525" b="0"/>
            <wp:docPr id="673312951"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355E57" w14:textId="77777777" w:rsidR="00EA6933" w:rsidRPr="00EA6933" w:rsidRDefault="00EA6933" w:rsidP="00EA6933">
      <w:pPr>
        <w:spacing w:after="0" w:line="360" w:lineRule="auto"/>
        <w:jc w:val="both"/>
        <w:rPr>
          <w:rFonts w:ascii="Calibri" w:eastAsia="Times New Roman" w:hAnsi="Calibri" w:cs="Times New Roman"/>
          <w:sz w:val="21"/>
          <w:szCs w:val="21"/>
        </w:rPr>
      </w:pPr>
    </w:p>
    <w:p w14:paraId="277131E8" w14:textId="77777777" w:rsidR="00EA6933" w:rsidRPr="00EA6933" w:rsidRDefault="00EA6933" w:rsidP="00EA6933">
      <w:pPr>
        <w:spacing w:after="0" w:line="360" w:lineRule="auto"/>
        <w:jc w:val="both"/>
        <w:rPr>
          <w:rFonts w:ascii="Arial" w:eastAsia="Times New Roman" w:hAnsi="Arial" w:cs="Arial"/>
          <w:b/>
          <w:bCs/>
          <w:sz w:val="20"/>
          <w:szCs w:val="20"/>
        </w:rPr>
      </w:pPr>
      <w:r w:rsidRPr="00EA6933">
        <w:rPr>
          <w:rFonts w:ascii="Arial" w:eastAsia="Times New Roman" w:hAnsi="Arial" w:cs="Arial"/>
          <w:b/>
          <w:bCs/>
          <w:sz w:val="20"/>
          <w:szCs w:val="20"/>
        </w:rPr>
        <w:t>Dijagram 2. Udio grupa prihoda u strukturi grupe „Ukupni prihod“-2024. godina</w:t>
      </w:r>
    </w:p>
    <w:p w14:paraId="3C946653" w14:textId="77777777" w:rsidR="00EA6933" w:rsidRPr="00EA6933" w:rsidRDefault="00EA6933" w:rsidP="007356C2">
      <w:pPr>
        <w:spacing w:after="120" w:line="360" w:lineRule="auto"/>
        <w:rPr>
          <w:rFonts w:ascii="Arial" w:eastAsia="Times New Roman" w:hAnsi="Arial" w:cs="Arial"/>
          <w:i/>
          <w:iCs/>
          <w:sz w:val="24"/>
          <w:szCs w:val="24"/>
        </w:rPr>
      </w:pPr>
      <w:r w:rsidRPr="00EA6933">
        <w:rPr>
          <w:rFonts w:ascii="Arial" w:eastAsia="Times New Roman" w:hAnsi="Arial" w:cs="Arial"/>
          <w:b/>
          <w:bCs/>
          <w:noProof/>
          <w:sz w:val="20"/>
          <w:szCs w:val="20"/>
        </w:rPr>
        <w:drawing>
          <wp:inline distT="0" distB="0" distL="0" distR="0" wp14:anchorId="3AB43FC7" wp14:editId="55EAAF3E">
            <wp:extent cx="5759450" cy="4259580"/>
            <wp:effectExtent l="0" t="0" r="9525" b="0"/>
            <wp:docPr id="1270921773"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265E36"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lastRenderedPageBreak/>
        <w:t>U strukturi „</w:t>
      </w:r>
      <w:r w:rsidRPr="00EA6933">
        <w:rPr>
          <w:rFonts w:ascii="Arial" w:eastAsia="Times New Roman" w:hAnsi="Arial" w:cs="Arial"/>
          <w:b/>
          <w:bCs/>
          <w:sz w:val="24"/>
          <w:szCs w:val="24"/>
        </w:rPr>
        <w:t>Ukupnog rashoda“</w:t>
      </w:r>
      <w:r w:rsidRPr="00EA6933">
        <w:rPr>
          <w:rFonts w:ascii="Arial" w:eastAsia="Times New Roman" w:hAnsi="Arial" w:cs="Arial"/>
          <w:sz w:val="24"/>
          <w:szCs w:val="24"/>
        </w:rPr>
        <w:t xml:space="preserve"> u 2024. godini, najveći rashod ostvaren je u grupi rashoda </w:t>
      </w:r>
      <w:r w:rsidRPr="00EA6933">
        <w:rPr>
          <w:rFonts w:ascii="Arial" w:eastAsia="Times New Roman" w:hAnsi="Arial" w:cs="Arial"/>
          <w:b/>
          <w:bCs/>
          <w:sz w:val="24"/>
          <w:szCs w:val="24"/>
        </w:rPr>
        <w:t>„Ostali vanjski troškovi poslovanja“</w:t>
      </w:r>
      <w:r w:rsidRPr="00EA6933">
        <w:rPr>
          <w:rFonts w:ascii="Arial" w:eastAsia="Times New Roman" w:hAnsi="Arial" w:cs="Arial"/>
          <w:sz w:val="24"/>
          <w:szCs w:val="24"/>
        </w:rPr>
        <w:t xml:space="preserve"> koja između ostalog uključuje troškove vanjskih pogrebnih usluga, usluge kooperanata u zimskoj službi, usluge zbrinjavanja komunalnog otpada, usluge održavanja, troškove najma, troškove promocije, komunalne usluge, troškove održavanja licenciranih programa, naknade za registracije vozila, troškove cestarina, usluge kooperanata u obavljanju poslova vezanih uz programe održavanja grada Samobora (održavanje cesta, održavanje javne rasvjete i održavanje javnih površina), a u 2024. godini ostvaren je u iznosu od </w:t>
      </w:r>
      <w:r w:rsidRPr="00EA6933">
        <w:rPr>
          <w:rFonts w:ascii="Arial" w:eastAsia="Times New Roman" w:hAnsi="Arial" w:cs="Arial"/>
          <w:b/>
          <w:bCs/>
          <w:sz w:val="24"/>
          <w:szCs w:val="24"/>
        </w:rPr>
        <w:t>6.878.162 €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42,08%</w:t>
      </w:r>
      <w:r w:rsidRPr="00EA6933">
        <w:rPr>
          <w:rFonts w:ascii="Arial" w:eastAsia="Times New Roman" w:hAnsi="Arial" w:cs="Arial"/>
          <w:sz w:val="24"/>
          <w:szCs w:val="24"/>
        </w:rPr>
        <w:t xml:space="preserve"> od ukupnog rashoda ostvarenog u 2024. godini. </w:t>
      </w:r>
    </w:p>
    <w:p w14:paraId="6EF91235"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Grupa rashoda </w:t>
      </w:r>
      <w:r w:rsidRPr="00EA6933">
        <w:rPr>
          <w:rFonts w:ascii="Arial" w:eastAsia="Times New Roman" w:hAnsi="Arial" w:cs="Arial"/>
          <w:b/>
          <w:bCs/>
          <w:sz w:val="24"/>
          <w:szCs w:val="24"/>
        </w:rPr>
        <w:t>„Troškovi osoblja“</w:t>
      </w:r>
      <w:r w:rsidRPr="00EA6933">
        <w:rPr>
          <w:rFonts w:ascii="Arial" w:eastAsia="Times New Roman" w:hAnsi="Arial" w:cs="Arial"/>
          <w:sz w:val="24"/>
          <w:szCs w:val="24"/>
        </w:rPr>
        <w:t xml:space="preserve"> uključuje troškove plaća, doprinosa i poreza za zaposlenike, a u 2024. godini ostvaren je u iznosu od </w:t>
      </w:r>
      <w:r w:rsidRPr="00EA6933">
        <w:rPr>
          <w:rFonts w:ascii="Arial" w:eastAsia="Times New Roman" w:hAnsi="Arial" w:cs="Arial"/>
          <w:b/>
          <w:bCs/>
          <w:sz w:val="24"/>
          <w:szCs w:val="24"/>
        </w:rPr>
        <w:t>5.018.869 €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30,70%</w:t>
      </w:r>
      <w:r w:rsidRPr="00EA6933">
        <w:rPr>
          <w:rFonts w:ascii="Arial" w:eastAsia="Times New Roman" w:hAnsi="Arial" w:cs="Arial"/>
          <w:sz w:val="24"/>
          <w:szCs w:val="24"/>
        </w:rPr>
        <w:t xml:space="preserve"> od ukupnog rashoda ostvarenog u 2024. godini.</w:t>
      </w:r>
    </w:p>
    <w:p w14:paraId="643C7E3A"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Grupa rashoda </w:t>
      </w:r>
      <w:r w:rsidRPr="00EA6933">
        <w:rPr>
          <w:rFonts w:ascii="Arial" w:eastAsia="Times New Roman" w:hAnsi="Arial" w:cs="Arial"/>
          <w:b/>
          <w:bCs/>
          <w:sz w:val="24"/>
          <w:szCs w:val="24"/>
        </w:rPr>
        <w:t>„Troškovi sirovina i materijala“</w:t>
      </w:r>
      <w:r w:rsidRPr="00EA6933">
        <w:rPr>
          <w:rFonts w:ascii="Arial" w:eastAsia="Times New Roman" w:hAnsi="Arial" w:cs="Arial"/>
          <w:sz w:val="24"/>
          <w:szCs w:val="24"/>
        </w:rPr>
        <w:t xml:space="preserve"> između ostalog uključuje troškove materijala za održavanje nerazvrstanih cesta, zelenih površina, javne rasvjete, troškove maziva i ulja, električne energije, plina, goriva, sitnog inventara, auto guma, zaštitne odjeće i obuće, a u 2024. godini ostvaren je u iznosu od </w:t>
      </w:r>
      <w:r w:rsidRPr="00EA6933">
        <w:rPr>
          <w:rFonts w:ascii="Arial" w:eastAsia="Times New Roman" w:hAnsi="Arial" w:cs="Arial"/>
          <w:b/>
          <w:bCs/>
          <w:sz w:val="24"/>
          <w:szCs w:val="24"/>
        </w:rPr>
        <w:t>1.932.401 €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11,82%</w:t>
      </w:r>
      <w:r w:rsidRPr="00EA6933">
        <w:rPr>
          <w:rFonts w:ascii="Arial" w:eastAsia="Times New Roman" w:hAnsi="Arial" w:cs="Arial"/>
          <w:sz w:val="24"/>
          <w:szCs w:val="24"/>
        </w:rPr>
        <w:t xml:space="preserve"> od ukupnog rashoda ostvarenog u 2024. godini.</w:t>
      </w:r>
    </w:p>
    <w:p w14:paraId="7FC36463"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Grupa rashoda </w:t>
      </w:r>
      <w:r w:rsidRPr="00EA6933">
        <w:rPr>
          <w:rFonts w:ascii="Arial" w:eastAsia="Times New Roman" w:hAnsi="Arial" w:cs="Arial"/>
          <w:b/>
          <w:bCs/>
          <w:sz w:val="24"/>
          <w:szCs w:val="24"/>
        </w:rPr>
        <w:t>„Ostali troškovi poslovanja“</w:t>
      </w:r>
      <w:r w:rsidRPr="00EA6933">
        <w:rPr>
          <w:rFonts w:ascii="Arial" w:eastAsia="Times New Roman" w:hAnsi="Arial" w:cs="Arial"/>
          <w:sz w:val="24"/>
          <w:szCs w:val="24"/>
        </w:rPr>
        <w:t xml:space="preserve"> između ostalog uključuje troškove iz područja zaštite na radu, zdravstvene usluge, troškove vanjskih odvjetnika, troškove javnih bilježnika, troškove revizije, troškove certificiranja, troškove osiguranja, naknade članovima Nadzornog odbora, troškove članarina, troškove bankarskih usluga, troškove ostalih materijalnih prava zaposlenika, a u 2024. godini ostvaren je u iznosu od </w:t>
      </w:r>
      <w:r w:rsidRPr="00EA6933">
        <w:rPr>
          <w:rFonts w:ascii="Arial" w:eastAsia="Times New Roman" w:hAnsi="Arial" w:cs="Arial"/>
          <w:b/>
          <w:bCs/>
          <w:sz w:val="24"/>
          <w:szCs w:val="24"/>
        </w:rPr>
        <w:t>1.155.679 €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7,07%</w:t>
      </w:r>
      <w:r w:rsidRPr="00EA6933">
        <w:rPr>
          <w:rFonts w:ascii="Arial" w:eastAsia="Times New Roman" w:hAnsi="Arial" w:cs="Arial"/>
          <w:sz w:val="24"/>
          <w:szCs w:val="24"/>
        </w:rPr>
        <w:t xml:space="preserve"> od ukupnog rashoda ostvarenog u 2024. godini.</w:t>
      </w:r>
    </w:p>
    <w:p w14:paraId="05EF2AB2" w14:textId="77777777" w:rsidR="00EA6933" w:rsidRPr="00EA6933" w:rsidRDefault="00EA6933" w:rsidP="00EA6933">
      <w:pPr>
        <w:spacing w:after="120" w:line="360" w:lineRule="auto"/>
        <w:jc w:val="both"/>
        <w:rPr>
          <w:rFonts w:ascii="Arial" w:eastAsia="Times New Roman" w:hAnsi="Arial" w:cs="Arial"/>
          <w:sz w:val="24"/>
          <w:szCs w:val="24"/>
        </w:rPr>
      </w:pPr>
      <w:bookmarkStart w:id="4" w:name="_Hlk7519032"/>
      <w:bookmarkEnd w:id="3"/>
      <w:r w:rsidRPr="00EA6933">
        <w:rPr>
          <w:rFonts w:ascii="Arial" w:eastAsia="Times New Roman" w:hAnsi="Arial" w:cs="Arial"/>
          <w:sz w:val="24"/>
          <w:szCs w:val="24"/>
        </w:rPr>
        <w:t xml:space="preserve">Grupa rashoda </w:t>
      </w:r>
      <w:r w:rsidRPr="00EA6933">
        <w:rPr>
          <w:rFonts w:ascii="Arial" w:eastAsia="Times New Roman" w:hAnsi="Arial" w:cs="Arial"/>
          <w:b/>
          <w:bCs/>
          <w:sz w:val="24"/>
          <w:szCs w:val="24"/>
        </w:rPr>
        <w:t>„Amortizacija“</w:t>
      </w:r>
      <w:r w:rsidRPr="00EA6933">
        <w:rPr>
          <w:rFonts w:ascii="Arial" w:eastAsia="Times New Roman" w:hAnsi="Arial" w:cs="Arial"/>
          <w:sz w:val="24"/>
          <w:szCs w:val="24"/>
        </w:rPr>
        <w:t xml:space="preserve"> uključuje troškove amortizacije dugotrajne imovine Društva, a u 2024. godini ostvaren je u iznosu od </w:t>
      </w:r>
      <w:r w:rsidRPr="00EA6933">
        <w:rPr>
          <w:rFonts w:ascii="Arial" w:eastAsia="Times New Roman" w:hAnsi="Arial" w:cs="Arial"/>
          <w:b/>
          <w:bCs/>
          <w:sz w:val="24"/>
          <w:szCs w:val="24"/>
        </w:rPr>
        <w:t>970.967 €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5,94%</w:t>
      </w:r>
      <w:r w:rsidRPr="00EA6933">
        <w:rPr>
          <w:rFonts w:ascii="Arial" w:eastAsia="Times New Roman" w:hAnsi="Arial" w:cs="Arial"/>
          <w:sz w:val="24"/>
          <w:szCs w:val="24"/>
        </w:rPr>
        <w:t xml:space="preserve"> od ukupnog rashoda ostvarenog u 2024. godini.</w:t>
      </w:r>
    </w:p>
    <w:p w14:paraId="4345A48A"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Grupa rashoda </w:t>
      </w:r>
      <w:r w:rsidRPr="00EA6933">
        <w:rPr>
          <w:rFonts w:ascii="Arial" w:eastAsia="Times New Roman" w:hAnsi="Arial" w:cs="Arial"/>
          <w:b/>
          <w:bCs/>
          <w:sz w:val="24"/>
          <w:szCs w:val="24"/>
        </w:rPr>
        <w:t>„Rashodi poslovanja“</w:t>
      </w:r>
      <w:r w:rsidRPr="00EA6933">
        <w:rPr>
          <w:rFonts w:ascii="Arial" w:eastAsia="Times New Roman" w:hAnsi="Arial" w:cs="Arial"/>
          <w:sz w:val="24"/>
          <w:szCs w:val="24"/>
        </w:rPr>
        <w:t xml:space="preserve"> između ostalog uključuje troškove nabavne vrijednosti prodanih proizvoda i robe, financijske rashode, troškove otpisa potraživanja od kupaca, troškove vrijednosnog usklađenja potraživanja od kupaca, a u 2024. godini ostvaren je u iznosu od </w:t>
      </w:r>
      <w:r w:rsidRPr="00EA6933">
        <w:rPr>
          <w:rFonts w:ascii="Arial" w:eastAsia="Times New Roman" w:hAnsi="Arial" w:cs="Arial"/>
          <w:b/>
          <w:bCs/>
          <w:sz w:val="24"/>
          <w:szCs w:val="24"/>
        </w:rPr>
        <w:t>368.405 €</w:t>
      </w:r>
      <w:r w:rsidRPr="00EA6933">
        <w:rPr>
          <w:rFonts w:ascii="Arial" w:eastAsia="Times New Roman" w:hAnsi="Arial" w:cs="Arial"/>
          <w:sz w:val="24"/>
          <w:szCs w:val="24"/>
        </w:rPr>
        <w:t xml:space="preserve"> i ima udio u iznosu </w:t>
      </w:r>
      <w:r w:rsidRPr="00EA6933">
        <w:rPr>
          <w:rFonts w:ascii="Arial" w:eastAsia="Times New Roman" w:hAnsi="Arial" w:cs="Arial"/>
          <w:b/>
          <w:bCs/>
          <w:sz w:val="24"/>
          <w:szCs w:val="24"/>
        </w:rPr>
        <w:t>2,25%</w:t>
      </w:r>
      <w:r w:rsidRPr="00EA6933">
        <w:rPr>
          <w:rFonts w:ascii="Arial" w:eastAsia="Times New Roman" w:hAnsi="Arial" w:cs="Arial"/>
          <w:sz w:val="24"/>
          <w:szCs w:val="24"/>
        </w:rPr>
        <w:t xml:space="preserve"> od ukupnog rashoda ostvarenog u 2024. godini.</w:t>
      </w:r>
    </w:p>
    <w:p w14:paraId="61C60C9C" w14:textId="77777777" w:rsidR="00EA6933" w:rsidRPr="00EA6933" w:rsidRDefault="00EA6933" w:rsidP="00EA6933">
      <w:pPr>
        <w:spacing w:after="120" w:line="360" w:lineRule="auto"/>
        <w:jc w:val="both"/>
        <w:rPr>
          <w:rFonts w:ascii="Arial" w:eastAsia="Times New Roman" w:hAnsi="Arial" w:cs="Arial"/>
          <w:sz w:val="24"/>
          <w:szCs w:val="24"/>
        </w:rPr>
      </w:pPr>
    </w:p>
    <w:p w14:paraId="05DEABA5" w14:textId="77777777" w:rsidR="00EA6933" w:rsidRPr="00EA6933" w:rsidRDefault="00EA6933" w:rsidP="00EA6933">
      <w:pPr>
        <w:numPr>
          <w:ilvl w:val="0"/>
          <w:numId w:val="14"/>
        </w:numPr>
        <w:spacing w:before="120" w:after="120" w:line="240" w:lineRule="auto"/>
        <w:jc w:val="both"/>
        <w:rPr>
          <w:rFonts w:ascii="Arial" w:eastAsia="Times New Roman" w:hAnsi="Arial" w:cs="Arial"/>
          <w:b/>
          <w:bCs/>
          <w:sz w:val="20"/>
          <w:szCs w:val="20"/>
          <w:lang w:eastAsia="hr-HR"/>
        </w:rPr>
      </w:pPr>
      <w:r w:rsidRPr="00EA6933">
        <w:rPr>
          <w:rFonts w:ascii="Arial" w:eastAsia="Times New Roman" w:hAnsi="Arial" w:cs="Arial"/>
          <w:b/>
          <w:bCs/>
          <w:sz w:val="20"/>
          <w:szCs w:val="20"/>
          <w:lang w:eastAsia="hr-HR"/>
        </w:rPr>
        <w:lastRenderedPageBreak/>
        <w:t>Dijagram 3. Struktura grupe rashoda u grupi „Ukupni rashod“-2024. godina</w:t>
      </w:r>
    </w:p>
    <w:p w14:paraId="4A6B8CCB" w14:textId="77777777" w:rsidR="00EA6933" w:rsidRPr="00EA6933" w:rsidRDefault="00EA6933" w:rsidP="00EA6933">
      <w:pPr>
        <w:numPr>
          <w:ilvl w:val="0"/>
          <w:numId w:val="14"/>
        </w:numPr>
        <w:spacing w:before="120" w:after="120" w:line="240" w:lineRule="auto"/>
        <w:jc w:val="both"/>
        <w:rPr>
          <w:rFonts w:ascii="Arial" w:eastAsia="Times New Roman" w:hAnsi="Arial" w:cs="Arial"/>
          <w:b/>
          <w:bCs/>
          <w:sz w:val="20"/>
          <w:szCs w:val="20"/>
          <w:lang w:eastAsia="hr-HR"/>
        </w:rPr>
      </w:pPr>
      <w:r w:rsidRPr="00EA6933">
        <w:rPr>
          <w:rFonts w:ascii="Arial" w:eastAsia="Times New Roman" w:hAnsi="Arial" w:cs="Arial"/>
          <w:b/>
          <w:bCs/>
          <w:noProof/>
          <w:sz w:val="20"/>
          <w:szCs w:val="20"/>
          <w:lang w:eastAsia="hr-HR"/>
        </w:rPr>
        <w:drawing>
          <wp:inline distT="0" distB="0" distL="0" distR="0" wp14:anchorId="7B5F0ECB" wp14:editId="4F6B7DDE">
            <wp:extent cx="5480050" cy="3810000"/>
            <wp:effectExtent l="0" t="0" r="6350" b="0"/>
            <wp:docPr id="1105934966"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0515E6" w14:textId="77777777" w:rsidR="00EA6933" w:rsidRPr="00EA6933" w:rsidRDefault="00EA6933" w:rsidP="00EA6933">
      <w:pPr>
        <w:spacing w:before="240" w:after="0" w:line="360" w:lineRule="auto"/>
        <w:jc w:val="both"/>
        <w:rPr>
          <w:rFonts w:ascii="Arial" w:eastAsia="Times New Roman" w:hAnsi="Arial" w:cs="Arial"/>
          <w:b/>
          <w:bCs/>
          <w:sz w:val="20"/>
          <w:szCs w:val="20"/>
        </w:rPr>
      </w:pPr>
      <w:r w:rsidRPr="00EA6933">
        <w:rPr>
          <w:rFonts w:ascii="Arial" w:eastAsia="Times New Roman" w:hAnsi="Arial" w:cs="Arial"/>
          <w:b/>
          <w:bCs/>
          <w:sz w:val="20"/>
          <w:szCs w:val="20"/>
        </w:rPr>
        <w:t>Dijagram 4. Udio strukture grupe rashoda u grupi „Ukupni rashod“-2024. godina</w:t>
      </w:r>
    </w:p>
    <w:p w14:paraId="2D25DD57" w14:textId="77777777" w:rsidR="00EA6933" w:rsidRPr="00EA6933" w:rsidRDefault="00EA6933" w:rsidP="00EA6933">
      <w:pPr>
        <w:spacing w:line="360" w:lineRule="auto"/>
        <w:jc w:val="both"/>
        <w:rPr>
          <w:rFonts w:ascii="Arial" w:eastAsia="Times New Roman" w:hAnsi="Arial" w:cs="Arial"/>
          <w:b/>
          <w:bCs/>
          <w:sz w:val="20"/>
          <w:szCs w:val="20"/>
        </w:rPr>
      </w:pPr>
      <w:r w:rsidRPr="00EA6933">
        <w:rPr>
          <w:rFonts w:ascii="Calibri" w:eastAsia="Times New Roman" w:hAnsi="Calibri" w:cs="Times New Roman"/>
          <w:noProof/>
          <w:sz w:val="21"/>
          <w:szCs w:val="21"/>
        </w:rPr>
        <w:drawing>
          <wp:inline distT="0" distB="0" distL="0" distR="0" wp14:anchorId="69CE0DA4" wp14:editId="20EE41EB">
            <wp:extent cx="5759450" cy="3916680"/>
            <wp:effectExtent l="0" t="0" r="12700" b="7620"/>
            <wp:docPr id="177992121"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A922B5"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lastRenderedPageBreak/>
        <w:t xml:space="preserve">Na dan 31.12.2024. godine bilo je zaposleno </w:t>
      </w:r>
      <w:r w:rsidRPr="00EA6933">
        <w:rPr>
          <w:rFonts w:ascii="Arial" w:eastAsia="Times New Roman" w:hAnsi="Arial" w:cs="Arial"/>
          <w:b/>
          <w:bCs/>
          <w:sz w:val="24"/>
          <w:szCs w:val="24"/>
        </w:rPr>
        <w:t xml:space="preserve">243 </w:t>
      </w:r>
      <w:r w:rsidRPr="00EA6933">
        <w:rPr>
          <w:rFonts w:ascii="Arial" w:eastAsia="Times New Roman" w:hAnsi="Arial" w:cs="Arial"/>
          <w:sz w:val="24"/>
          <w:szCs w:val="24"/>
        </w:rPr>
        <w:t>radnika. Broj operativnih zaposlenika bio je</w:t>
      </w:r>
      <w:r w:rsidRPr="00EA6933">
        <w:rPr>
          <w:rFonts w:ascii="Arial" w:eastAsia="Times New Roman" w:hAnsi="Arial" w:cs="Arial"/>
          <w:b/>
          <w:bCs/>
          <w:sz w:val="24"/>
          <w:szCs w:val="24"/>
        </w:rPr>
        <w:t xml:space="preserve"> 189</w:t>
      </w:r>
      <w:r w:rsidRPr="00EA6933">
        <w:rPr>
          <w:rFonts w:ascii="Arial" w:eastAsia="Times New Roman" w:hAnsi="Arial" w:cs="Arial"/>
          <w:sz w:val="24"/>
          <w:szCs w:val="24"/>
        </w:rPr>
        <w:t xml:space="preserve"> odnosno </w:t>
      </w:r>
      <w:r w:rsidRPr="00EA6933">
        <w:rPr>
          <w:rFonts w:ascii="Arial" w:eastAsia="Times New Roman" w:hAnsi="Arial" w:cs="Arial"/>
          <w:b/>
          <w:bCs/>
          <w:sz w:val="24"/>
          <w:szCs w:val="24"/>
        </w:rPr>
        <w:t xml:space="preserve">77,78% </w:t>
      </w:r>
      <w:r w:rsidRPr="00EA6933">
        <w:rPr>
          <w:rFonts w:ascii="Arial" w:eastAsia="Times New Roman" w:hAnsi="Arial" w:cs="Arial"/>
          <w:sz w:val="24"/>
          <w:szCs w:val="24"/>
        </w:rPr>
        <w:t>od ukupnog broja zaposlenih, a broj administrativnih zaposlenika bio je</w:t>
      </w:r>
      <w:r w:rsidRPr="00EA6933">
        <w:rPr>
          <w:rFonts w:ascii="Arial" w:eastAsia="Times New Roman" w:hAnsi="Arial" w:cs="Arial"/>
          <w:b/>
          <w:bCs/>
          <w:sz w:val="24"/>
          <w:szCs w:val="24"/>
        </w:rPr>
        <w:t xml:space="preserve"> 54</w:t>
      </w:r>
      <w:r w:rsidRPr="00EA6933">
        <w:rPr>
          <w:rFonts w:ascii="Arial" w:eastAsia="Times New Roman" w:hAnsi="Arial" w:cs="Arial"/>
          <w:sz w:val="24"/>
          <w:szCs w:val="24"/>
        </w:rPr>
        <w:t xml:space="preserve"> odnosno </w:t>
      </w:r>
      <w:r w:rsidRPr="00EA6933">
        <w:rPr>
          <w:rFonts w:ascii="Arial" w:eastAsia="Times New Roman" w:hAnsi="Arial" w:cs="Arial"/>
          <w:b/>
          <w:bCs/>
          <w:sz w:val="24"/>
          <w:szCs w:val="24"/>
        </w:rPr>
        <w:t xml:space="preserve">22,22% </w:t>
      </w:r>
      <w:r w:rsidRPr="00EA6933">
        <w:rPr>
          <w:rFonts w:ascii="Arial" w:eastAsia="Times New Roman" w:hAnsi="Arial" w:cs="Arial"/>
          <w:sz w:val="24"/>
          <w:szCs w:val="24"/>
        </w:rPr>
        <w:t>od ukupnog broja</w:t>
      </w:r>
      <w:r w:rsidRPr="00EA6933">
        <w:rPr>
          <w:rFonts w:ascii="Arial" w:eastAsia="Times New Roman" w:hAnsi="Arial" w:cs="Arial"/>
          <w:b/>
          <w:bCs/>
          <w:sz w:val="24"/>
          <w:szCs w:val="24"/>
        </w:rPr>
        <w:t xml:space="preserve"> </w:t>
      </w:r>
      <w:r w:rsidRPr="00EA6933">
        <w:rPr>
          <w:rFonts w:ascii="Arial" w:eastAsia="Times New Roman" w:hAnsi="Arial" w:cs="Arial"/>
          <w:sz w:val="24"/>
          <w:szCs w:val="24"/>
        </w:rPr>
        <w:t xml:space="preserve">zaposlenih. </w:t>
      </w:r>
    </w:p>
    <w:p w14:paraId="13A533E7" w14:textId="77777777" w:rsidR="00EA6933" w:rsidRPr="00EA6933" w:rsidRDefault="00EA6933" w:rsidP="00EA6933">
      <w:pPr>
        <w:spacing w:line="360" w:lineRule="auto"/>
        <w:jc w:val="both"/>
        <w:rPr>
          <w:rFonts w:ascii="Arial" w:eastAsia="Times New Roman" w:hAnsi="Arial" w:cs="Arial"/>
          <w:b/>
          <w:bCs/>
          <w:sz w:val="20"/>
          <w:szCs w:val="20"/>
        </w:rPr>
      </w:pPr>
      <w:r w:rsidRPr="00EA6933">
        <w:rPr>
          <w:rFonts w:ascii="Arial" w:eastAsia="Times New Roman" w:hAnsi="Arial" w:cs="Arial"/>
          <w:b/>
          <w:bCs/>
          <w:sz w:val="20"/>
          <w:szCs w:val="20"/>
        </w:rPr>
        <w:t>Dijagram 5. Struktura zaposlenih na dan 31.12.2024. godina</w:t>
      </w:r>
    </w:p>
    <w:p w14:paraId="43C4D698"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
          <w:noProof/>
          <w:sz w:val="24"/>
          <w:szCs w:val="24"/>
          <w:lang w:eastAsia="hr-HR"/>
        </w:rPr>
        <w:drawing>
          <wp:inline distT="0" distB="0" distL="0" distR="0" wp14:anchorId="6F639914" wp14:editId="32AED01D">
            <wp:extent cx="5286375" cy="3336186"/>
            <wp:effectExtent l="0" t="0" r="9525" b="17145"/>
            <wp:docPr id="1222066175"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696F77" w14:textId="77777777" w:rsidR="00EA6933" w:rsidRPr="00EA6933" w:rsidRDefault="00EA6933" w:rsidP="00EA6933">
      <w:pPr>
        <w:spacing w:line="360" w:lineRule="auto"/>
        <w:jc w:val="both"/>
        <w:rPr>
          <w:rFonts w:ascii="Arial" w:eastAsia="Times New Roman" w:hAnsi="Arial" w:cs="Arial"/>
          <w:b/>
          <w:bCs/>
          <w:sz w:val="20"/>
          <w:szCs w:val="20"/>
        </w:rPr>
      </w:pPr>
      <w:r w:rsidRPr="00EA6933">
        <w:rPr>
          <w:rFonts w:ascii="Arial" w:eastAsia="Times New Roman" w:hAnsi="Arial" w:cs="Arial"/>
          <w:b/>
          <w:bCs/>
          <w:sz w:val="20"/>
          <w:szCs w:val="20"/>
        </w:rPr>
        <w:t>Dijagram 6. Udio zaposlenih u strukturi zaposlenih na dan 31.12.2024. godina</w:t>
      </w:r>
    </w:p>
    <w:p w14:paraId="74E617CC"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
          <w:noProof/>
          <w:sz w:val="24"/>
          <w:szCs w:val="24"/>
          <w:lang w:eastAsia="hr-HR"/>
        </w:rPr>
        <w:drawing>
          <wp:inline distT="0" distB="0" distL="0" distR="0" wp14:anchorId="716F8E1A" wp14:editId="4AEADB4A">
            <wp:extent cx="5286375" cy="3399133"/>
            <wp:effectExtent l="0" t="0" r="9525" b="11430"/>
            <wp:docPr id="295839001"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FF9D54" w14:textId="77777777" w:rsidR="007356C2" w:rsidRDefault="007356C2" w:rsidP="00EA6933">
      <w:pPr>
        <w:spacing w:after="0" w:line="360" w:lineRule="auto"/>
        <w:jc w:val="both"/>
        <w:rPr>
          <w:rFonts w:ascii="Arial" w:eastAsia="Times New Roman" w:hAnsi="Arial" w:cs="Arial"/>
          <w:sz w:val="24"/>
          <w:szCs w:val="24"/>
        </w:rPr>
      </w:pPr>
    </w:p>
    <w:p w14:paraId="3A2BD8C8" w14:textId="2EEB8950" w:rsidR="00EA6933" w:rsidRPr="00EA6933" w:rsidRDefault="00EA6933" w:rsidP="00EA6933">
      <w:pPr>
        <w:spacing w:after="0" w:line="360" w:lineRule="auto"/>
        <w:jc w:val="both"/>
        <w:rPr>
          <w:rFonts w:ascii="Arial" w:eastAsia="Times New Roman" w:hAnsi="Arial" w:cs="Arial"/>
          <w:sz w:val="24"/>
          <w:szCs w:val="24"/>
        </w:rPr>
      </w:pPr>
      <w:r w:rsidRPr="00EA6933">
        <w:rPr>
          <w:rFonts w:ascii="Arial" w:eastAsia="Times New Roman" w:hAnsi="Arial" w:cs="Arial"/>
          <w:sz w:val="24"/>
          <w:szCs w:val="24"/>
        </w:rPr>
        <w:lastRenderedPageBreak/>
        <w:t>Kvalifikacijska struktura zaposlenika bila je sljedeća:</w:t>
      </w:r>
    </w:p>
    <w:p w14:paraId="3F284B3F" w14:textId="77777777" w:rsidR="00EA6933" w:rsidRPr="00EA6933" w:rsidRDefault="00EA6933" w:rsidP="00EA6933">
      <w:pPr>
        <w:numPr>
          <w:ilvl w:val="0"/>
          <w:numId w:val="44"/>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 xml:space="preserve">Visoka stručna sprema (VSS/300 ECTS bodova) - </w:t>
      </w:r>
      <w:r w:rsidRPr="00EA6933">
        <w:rPr>
          <w:rFonts w:ascii="Arial" w:eastAsia="Times New Roman" w:hAnsi="Arial" w:cs="Arial"/>
          <w:b/>
          <w:bCs/>
          <w:sz w:val="24"/>
          <w:szCs w:val="24"/>
        </w:rPr>
        <w:t>25</w:t>
      </w:r>
      <w:r w:rsidRPr="00EA6933">
        <w:rPr>
          <w:rFonts w:ascii="Arial" w:eastAsia="Times New Roman" w:hAnsi="Arial" w:cs="Arial"/>
          <w:sz w:val="24"/>
          <w:szCs w:val="24"/>
        </w:rPr>
        <w:t xml:space="preserve"> zaposlenika (</w:t>
      </w:r>
      <w:r w:rsidRPr="00EA6933">
        <w:rPr>
          <w:rFonts w:ascii="Arial" w:eastAsia="Times New Roman" w:hAnsi="Arial" w:cs="Arial"/>
          <w:b/>
          <w:bCs/>
          <w:sz w:val="24"/>
          <w:szCs w:val="24"/>
        </w:rPr>
        <w:t>10,29%</w:t>
      </w:r>
      <w:r w:rsidRPr="00EA6933">
        <w:rPr>
          <w:rFonts w:ascii="Arial" w:eastAsia="Times New Roman" w:hAnsi="Arial" w:cs="Arial"/>
          <w:sz w:val="24"/>
          <w:szCs w:val="24"/>
        </w:rPr>
        <w:t>)</w:t>
      </w:r>
    </w:p>
    <w:p w14:paraId="07DB7A85" w14:textId="77777777" w:rsidR="00EA6933" w:rsidRPr="00EA6933" w:rsidRDefault="00EA6933" w:rsidP="00EA6933">
      <w:pPr>
        <w:numPr>
          <w:ilvl w:val="0"/>
          <w:numId w:val="44"/>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 xml:space="preserve">Viša stručna sprema (VŠS/180 ECTS bodova) - </w:t>
      </w:r>
      <w:r w:rsidRPr="00EA6933">
        <w:rPr>
          <w:rFonts w:ascii="Arial" w:eastAsia="Times New Roman" w:hAnsi="Arial" w:cs="Arial"/>
          <w:b/>
          <w:bCs/>
          <w:sz w:val="24"/>
          <w:szCs w:val="24"/>
        </w:rPr>
        <w:t>8</w:t>
      </w:r>
      <w:r w:rsidRPr="00EA6933">
        <w:rPr>
          <w:rFonts w:ascii="Arial" w:eastAsia="Times New Roman" w:hAnsi="Arial" w:cs="Arial"/>
          <w:sz w:val="24"/>
          <w:szCs w:val="24"/>
        </w:rPr>
        <w:t xml:space="preserve"> zaposlenika (</w:t>
      </w:r>
      <w:r w:rsidRPr="00EA6933">
        <w:rPr>
          <w:rFonts w:ascii="Arial" w:eastAsia="Times New Roman" w:hAnsi="Arial" w:cs="Arial"/>
          <w:b/>
          <w:bCs/>
          <w:sz w:val="24"/>
          <w:szCs w:val="24"/>
        </w:rPr>
        <w:t>3,29%</w:t>
      </w:r>
      <w:r w:rsidRPr="00EA6933">
        <w:rPr>
          <w:rFonts w:ascii="Arial" w:eastAsia="Times New Roman" w:hAnsi="Arial" w:cs="Arial"/>
          <w:sz w:val="24"/>
          <w:szCs w:val="24"/>
        </w:rPr>
        <w:t xml:space="preserve">) </w:t>
      </w:r>
    </w:p>
    <w:p w14:paraId="09F7F080" w14:textId="77777777" w:rsidR="00EA6933" w:rsidRPr="00EA6933" w:rsidRDefault="00EA6933" w:rsidP="00EA6933">
      <w:pPr>
        <w:numPr>
          <w:ilvl w:val="0"/>
          <w:numId w:val="44"/>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 xml:space="preserve">Srednja stručna sprema (SSS) – </w:t>
      </w:r>
      <w:r w:rsidRPr="00EA6933">
        <w:rPr>
          <w:rFonts w:ascii="Arial" w:eastAsia="Times New Roman" w:hAnsi="Arial" w:cs="Arial"/>
          <w:b/>
          <w:bCs/>
          <w:sz w:val="24"/>
          <w:szCs w:val="24"/>
        </w:rPr>
        <w:t xml:space="preserve">153 </w:t>
      </w:r>
      <w:r w:rsidRPr="00EA6933">
        <w:rPr>
          <w:rFonts w:ascii="Arial" w:eastAsia="Times New Roman" w:hAnsi="Arial" w:cs="Arial"/>
          <w:sz w:val="24"/>
          <w:szCs w:val="24"/>
        </w:rPr>
        <w:t>zaposlenika (</w:t>
      </w:r>
      <w:r w:rsidRPr="00EA6933">
        <w:rPr>
          <w:rFonts w:ascii="Arial" w:eastAsia="Times New Roman" w:hAnsi="Arial" w:cs="Arial"/>
          <w:b/>
          <w:bCs/>
          <w:sz w:val="24"/>
          <w:szCs w:val="24"/>
        </w:rPr>
        <w:t>62,96%</w:t>
      </w:r>
      <w:r w:rsidRPr="00EA6933">
        <w:rPr>
          <w:rFonts w:ascii="Arial" w:eastAsia="Times New Roman" w:hAnsi="Arial" w:cs="Arial"/>
          <w:sz w:val="24"/>
          <w:szCs w:val="24"/>
        </w:rPr>
        <w:t xml:space="preserve">) </w:t>
      </w:r>
    </w:p>
    <w:p w14:paraId="07D20A1D" w14:textId="77777777" w:rsidR="00EA6933" w:rsidRPr="00EA6933" w:rsidRDefault="00EA6933" w:rsidP="00EA6933">
      <w:pPr>
        <w:numPr>
          <w:ilvl w:val="0"/>
          <w:numId w:val="44"/>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 xml:space="preserve">NKV sprema - </w:t>
      </w:r>
      <w:r w:rsidRPr="00EA6933">
        <w:rPr>
          <w:rFonts w:ascii="Arial" w:eastAsia="Times New Roman" w:hAnsi="Arial" w:cs="Arial"/>
          <w:b/>
          <w:bCs/>
          <w:sz w:val="24"/>
          <w:szCs w:val="24"/>
        </w:rPr>
        <w:t>57</w:t>
      </w:r>
      <w:r w:rsidRPr="00EA6933">
        <w:rPr>
          <w:rFonts w:ascii="Arial" w:eastAsia="Times New Roman" w:hAnsi="Arial" w:cs="Arial"/>
          <w:sz w:val="24"/>
          <w:szCs w:val="24"/>
        </w:rPr>
        <w:t xml:space="preserve"> zaposlenika (</w:t>
      </w:r>
      <w:r w:rsidRPr="00EA6933">
        <w:rPr>
          <w:rFonts w:ascii="Arial" w:eastAsia="Times New Roman" w:hAnsi="Arial" w:cs="Arial"/>
          <w:b/>
          <w:bCs/>
          <w:sz w:val="24"/>
          <w:szCs w:val="24"/>
        </w:rPr>
        <w:t>23,46%</w:t>
      </w:r>
      <w:r w:rsidRPr="00EA6933">
        <w:rPr>
          <w:rFonts w:ascii="Arial" w:eastAsia="Times New Roman" w:hAnsi="Arial" w:cs="Arial"/>
          <w:sz w:val="24"/>
          <w:szCs w:val="24"/>
        </w:rPr>
        <w:t xml:space="preserve">) </w:t>
      </w:r>
    </w:p>
    <w:p w14:paraId="1FDAA313"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Najzastupljenija kvalifikacijska skupina je „Srednja stručna sprema (SSS)“ koju ima </w:t>
      </w:r>
      <w:r w:rsidRPr="00EA6933">
        <w:rPr>
          <w:rFonts w:ascii="Arial" w:eastAsia="Times New Roman" w:hAnsi="Arial" w:cs="Arial"/>
          <w:b/>
          <w:bCs/>
          <w:sz w:val="24"/>
          <w:szCs w:val="24"/>
        </w:rPr>
        <w:t>153</w:t>
      </w:r>
      <w:r w:rsidRPr="00EA6933">
        <w:rPr>
          <w:rFonts w:ascii="Arial" w:eastAsia="Times New Roman" w:hAnsi="Arial" w:cs="Arial"/>
          <w:sz w:val="24"/>
          <w:szCs w:val="24"/>
        </w:rPr>
        <w:t xml:space="preserve"> zaposlenika odnosno </w:t>
      </w:r>
      <w:bookmarkEnd w:id="4"/>
      <w:r w:rsidRPr="00EA6933">
        <w:rPr>
          <w:rFonts w:ascii="Arial" w:eastAsia="Times New Roman" w:hAnsi="Arial" w:cs="Arial"/>
          <w:b/>
          <w:bCs/>
          <w:sz w:val="24"/>
          <w:szCs w:val="24"/>
        </w:rPr>
        <w:t>62,96%</w:t>
      </w:r>
      <w:r w:rsidRPr="00EA6933">
        <w:rPr>
          <w:rFonts w:ascii="Arial" w:eastAsia="Times New Roman" w:hAnsi="Arial" w:cs="Arial"/>
          <w:sz w:val="24"/>
          <w:szCs w:val="24"/>
        </w:rPr>
        <w:t xml:space="preserve"> od ukupnog broja zaposlenih. </w:t>
      </w:r>
    </w:p>
    <w:p w14:paraId="21AECDA5" w14:textId="77777777" w:rsidR="00EA6933" w:rsidRPr="00EA6933" w:rsidRDefault="00EA6933" w:rsidP="00EA6933">
      <w:pPr>
        <w:spacing w:line="360" w:lineRule="auto"/>
        <w:jc w:val="both"/>
        <w:rPr>
          <w:rFonts w:ascii="Arial" w:eastAsia="Times New Roman" w:hAnsi="Arial" w:cs="Arial"/>
          <w:b/>
          <w:bCs/>
          <w:sz w:val="20"/>
          <w:szCs w:val="20"/>
        </w:rPr>
      </w:pPr>
      <w:r w:rsidRPr="00EA6933">
        <w:rPr>
          <w:rFonts w:ascii="Arial" w:eastAsia="Times New Roman" w:hAnsi="Arial" w:cs="Arial"/>
          <w:b/>
          <w:bCs/>
          <w:sz w:val="20"/>
          <w:szCs w:val="20"/>
        </w:rPr>
        <w:t>Dijagram 7. Kvalifikacijska struktura zaposlenih na dan 31.12.2024. godina</w:t>
      </w:r>
    </w:p>
    <w:p w14:paraId="4A140031" w14:textId="77777777" w:rsidR="00EA6933" w:rsidRPr="00EA6933" w:rsidRDefault="00EA6933" w:rsidP="00EA6933">
      <w:pPr>
        <w:spacing w:after="120" w:line="360" w:lineRule="auto"/>
        <w:jc w:val="both"/>
        <w:rPr>
          <w:rFonts w:ascii="Arial" w:eastAsia="Times New Roman" w:hAnsi="Arial" w:cs="Arial"/>
          <w:b/>
          <w:bCs/>
          <w:sz w:val="21"/>
          <w:szCs w:val="21"/>
          <w:u w:val="single"/>
        </w:rPr>
      </w:pPr>
      <w:r w:rsidRPr="00EA6933">
        <w:rPr>
          <w:rFonts w:ascii="Arial" w:eastAsia="Times New Roman" w:hAnsi="Arial" w:cs="Arial"/>
          <w:b/>
          <w:bCs/>
          <w:noProof/>
          <w:sz w:val="21"/>
          <w:szCs w:val="21"/>
          <w:u w:val="single"/>
        </w:rPr>
        <w:drawing>
          <wp:inline distT="0" distB="0" distL="0" distR="0" wp14:anchorId="506004E0" wp14:editId="0EA7F120">
            <wp:extent cx="5759450" cy="4572000"/>
            <wp:effectExtent l="0" t="0" r="12700" b="0"/>
            <wp:docPr id="565548547" name="Grafikon 1">
              <a:extLst xmlns:a="http://schemas.openxmlformats.org/drawingml/2006/main">
                <a:ext uri="{FF2B5EF4-FFF2-40B4-BE49-F238E27FC236}">
                  <a16:creationId xmlns:a16="http://schemas.microsoft.com/office/drawing/2014/main" id="{63553D8D-E902-2246-6D81-614B67A6D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583C0D" w14:textId="77777777" w:rsidR="00EA6933" w:rsidRPr="00EA6933" w:rsidRDefault="00EA6933" w:rsidP="00EA6933">
      <w:pPr>
        <w:spacing w:line="360" w:lineRule="auto"/>
        <w:jc w:val="both"/>
        <w:rPr>
          <w:rFonts w:ascii="Arial" w:eastAsia="Times New Roman" w:hAnsi="Arial" w:cs="Arial"/>
          <w:b/>
          <w:bCs/>
          <w:sz w:val="20"/>
          <w:szCs w:val="20"/>
        </w:rPr>
      </w:pPr>
    </w:p>
    <w:p w14:paraId="6004C046" w14:textId="77777777" w:rsidR="00EA6933" w:rsidRPr="00EA6933" w:rsidRDefault="00EA6933" w:rsidP="00EA6933">
      <w:pPr>
        <w:spacing w:line="360" w:lineRule="auto"/>
        <w:jc w:val="both"/>
        <w:rPr>
          <w:rFonts w:ascii="Arial" w:eastAsia="Times New Roman" w:hAnsi="Arial" w:cs="Arial"/>
          <w:b/>
          <w:bCs/>
          <w:sz w:val="20"/>
          <w:szCs w:val="20"/>
        </w:rPr>
      </w:pPr>
    </w:p>
    <w:p w14:paraId="31511985" w14:textId="77777777" w:rsidR="00EA6933" w:rsidRPr="00EA6933" w:rsidRDefault="00EA6933" w:rsidP="00EA6933">
      <w:pPr>
        <w:spacing w:line="360" w:lineRule="auto"/>
        <w:jc w:val="both"/>
        <w:rPr>
          <w:rFonts w:ascii="Arial" w:eastAsia="Times New Roman" w:hAnsi="Arial" w:cs="Arial"/>
          <w:b/>
          <w:bCs/>
          <w:sz w:val="20"/>
          <w:szCs w:val="20"/>
        </w:rPr>
      </w:pPr>
    </w:p>
    <w:p w14:paraId="0F4CBFDD" w14:textId="77777777" w:rsidR="00EA6933" w:rsidRPr="00EA6933" w:rsidRDefault="00EA6933" w:rsidP="00EA6933">
      <w:pPr>
        <w:spacing w:line="360" w:lineRule="auto"/>
        <w:jc w:val="both"/>
        <w:rPr>
          <w:rFonts w:ascii="Arial" w:eastAsia="Times New Roman" w:hAnsi="Arial" w:cs="Arial"/>
          <w:b/>
          <w:bCs/>
          <w:sz w:val="20"/>
          <w:szCs w:val="20"/>
        </w:rPr>
      </w:pPr>
    </w:p>
    <w:p w14:paraId="0E692BC6" w14:textId="77777777" w:rsidR="00EA6933" w:rsidRPr="00EA6933" w:rsidRDefault="00EA6933" w:rsidP="00EA6933">
      <w:pPr>
        <w:spacing w:line="360" w:lineRule="auto"/>
        <w:jc w:val="both"/>
        <w:rPr>
          <w:rFonts w:ascii="Arial" w:eastAsia="Times New Roman" w:hAnsi="Arial" w:cs="Arial"/>
          <w:b/>
          <w:bCs/>
          <w:sz w:val="20"/>
          <w:szCs w:val="20"/>
        </w:rPr>
      </w:pPr>
    </w:p>
    <w:p w14:paraId="73C0FE07" w14:textId="77777777" w:rsidR="00EA6933" w:rsidRPr="00EA6933" w:rsidRDefault="00EA6933" w:rsidP="00EA6933">
      <w:pPr>
        <w:spacing w:line="360" w:lineRule="auto"/>
        <w:jc w:val="both"/>
        <w:rPr>
          <w:rFonts w:ascii="Arial" w:eastAsia="Times New Roman" w:hAnsi="Arial" w:cs="Arial"/>
          <w:b/>
          <w:bCs/>
          <w:sz w:val="20"/>
          <w:szCs w:val="20"/>
        </w:rPr>
      </w:pPr>
    </w:p>
    <w:p w14:paraId="4DDE4E19" w14:textId="77777777" w:rsidR="00EA6933" w:rsidRPr="00EA6933" w:rsidRDefault="00EA6933" w:rsidP="00EA6933">
      <w:pPr>
        <w:spacing w:line="360" w:lineRule="auto"/>
        <w:jc w:val="both"/>
        <w:rPr>
          <w:rFonts w:ascii="Arial" w:eastAsia="Times New Roman" w:hAnsi="Arial" w:cs="Arial"/>
          <w:b/>
          <w:bCs/>
          <w:sz w:val="20"/>
          <w:szCs w:val="20"/>
        </w:rPr>
      </w:pPr>
      <w:r w:rsidRPr="00EA6933">
        <w:rPr>
          <w:rFonts w:ascii="Arial" w:eastAsia="Times New Roman" w:hAnsi="Arial" w:cs="Arial"/>
          <w:b/>
          <w:bCs/>
          <w:sz w:val="20"/>
          <w:szCs w:val="20"/>
        </w:rPr>
        <w:lastRenderedPageBreak/>
        <w:t>Dijagram 8. Udio u kvalifikacijskoj strukturi zaposlenih na dan 31.12.2024. godina</w:t>
      </w:r>
    </w:p>
    <w:p w14:paraId="64670326" w14:textId="77777777" w:rsidR="00EA6933" w:rsidRPr="00EA6933" w:rsidRDefault="00EA6933" w:rsidP="00EA6933">
      <w:pPr>
        <w:spacing w:after="120" w:line="360" w:lineRule="auto"/>
        <w:jc w:val="both"/>
        <w:rPr>
          <w:rFonts w:ascii="Arial" w:eastAsia="Times New Roman" w:hAnsi="Arial" w:cs="Arial"/>
          <w:b/>
          <w:bCs/>
          <w:u w:val="single"/>
        </w:rPr>
      </w:pPr>
      <w:r w:rsidRPr="00EA6933">
        <w:rPr>
          <w:rFonts w:ascii="Arial" w:eastAsia="Times New Roman" w:hAnsi="Arial" w:cs="Arial"/>
          <w:b/>
          <w:bCs/>
          <w:noProof/>
          <w:u w:val="single"/>
        </w:rPr>
        <w:drawing>
          <wp:inline distT="0" distB="0" distL="0" distR="0" wp14:anchorId="5BDA13BE" wp14:editId="583445ED">
            <wp:extent cx="5759450" cy="4130040"/>
            <wp:effectExtent l="0" t="0" r="12700" b="3810"/>
            <wp:docPr id="977499608" name="Grafikon 1">
              <a:extLst xmlns:a="http://schemas.openxmlformats.org/drawingml/2006/main">
                <a:ext uri="{FF2B5EF4-FFF2-40B4-BE49-F238E27FC236}">
                  <a16:creationId xmlns:a16="http://schemas.microsoft.com/office/drawing/2014/main" id="{6A6B7557-5DB1-447B-A66F-F12F54558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F0C27D" w14:textId="77777777" w:rsidR="00EA6933" w:rsidRPr="00EA6933" w:rsidRDefault="00EA6933" w:rsidP="00EA6933">
      <w:pPr>
        <w:spacing w:after="120" w:line="360" w:lineRule="auto"/>
        <w:jc w:val="both"/>
        <w:rPr>
          <w:rFonts w:ascii="Arial" w:eastAsia="Times New Roman" w:hAnsi="Arial" w:cs="Arial"/>
          <w:sz w:val="16"/>
          <w:szCs w:val="16"/>
        </w:rPr>
      </w:pPr>
    </w:p>
    <w:p w14:paraId="55620EA6" w14:textId="77777777" w:rsidR="00EA6933" w:rsidRPr="00EA6933" w:rsidRDefault="00EA6933" w:rsidP="00EA6933">
      <w:pPr>
        <w:spacing w:after="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Na dan 31.12.2024. godine broj zaposlenih u osnovnim organizacijskom jedinicama bio je sljedeći: </w:t>
      </w:r>
    </w:p>
    <w:p w14:paraId="2DD8DCF5" w14:textId="77777777" w:rsidR="00EA6933" w:rsidRPr="00EA6933" w:rsidRDefault="00EA6933" w:rsidP="00EA6933">
      <w:pPr>
        <w:numPr>
          <w:ilvl w:val="0"/>
          <w:numId w:val="46"/>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Sektor usluge održavanja grada - 106</w:t>
      </w:r>
    </w:p>
    <w:p w14:paraId="73A176FF" w14:textId="77777777" w:rsidR="00EA6933" w:rsidRPr="00EA6933" w:rsidRDefault="00EA6933" w:rsidP="00EA6933">
      <w:pPr>
        <w:numPr>
          <w:ilvl w:val="0"/>
          <w:numId w:val="46"/>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Sektor javne usluge - 86</w:t>
      </w:r>
    </w:p>
    <w:p w14:paraId="145F063B" w14:textId="77777777" w:rsidR="00EA6933" w:rsidRPr="00EA6933" w:rsidRDefault="00EA6933" w:rsidP="00EA6933">
      <w:pPr>
        <w:numPr>
          <w:ilvl w:val="0"/>
          <w:numId w:val="46"/>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Sektor za ljudske potencijale i poslovnu podršku - 35</w:t>
      </w:r>
    </w:p>
    <w:p w14:paraId="1C7EC700" w14:textId="77777777" w:rsidR="00EA6933" w:rsidRPr="00EA6933" w:rsidRDefault="00EA6933" w:rsidP="00EA6933">
      <w:pPr>
        <w:numPr>
          <w:ilvl w:val="0"/>
          <w:numId w:val="46"/>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 xml:space="preserve">Odjel financija i računovodstva“ - 12 </w:t>
      </w:r>
    </w:p>
    <w:p w14:paraId="46A4FC01" w14:textId="77777777" w:rsidR="00EA6933" w:rsidRPr="00EA6933" w:rsidRDefault="00EA6933" w:rsidP="00EA6933">
      <w:pPr>
        <w:numPr>
          <w:ilvl w:val="0"/>
          <w:numId w:val="46"/>
        </w:numPr>
        <w:spacing w:after="120" w:line="360" w:lineRule="auto"/>
        <w:ind w:left="360"/>
        <w:contextualSpacing/>
        <w:jc w:val="both"/>
        <w:rPr>
          <w:rFonts w:ascii="Arial" w:eastAsia="Times New Roman" w:hAnsi="Arial" w:cs="Arial"/>
          <w:sz w:val="24"/>
          <w:szCs w:val="24"/>
        </w:rPr>
      </w:pPr>
      <w:r w:rsidRPr="00EA6933">
        <w:rPr>
          <w:rFonts w:ascii="Arial" w:eastAsia="Times New Roman" w:hAnsi="Arial" w:cs="Arial"/>
          <w:sz w:val="24"/>
          <w:szCs w:val="24"/>
        </w:rPr>
        <w:t xml:space="preserve">Ured direktora - 4. </w:t>
      </w:r>
    </w:p>
    <w:p w14:paraId="42648443" w14:textId="77777777" w:rsidR="00EA6933" w:rsidRPr="00EA6933" w:rsidRDefault="00EA6933" w:rsidP="00EA6933">
      <w:pPr>
        <w:spacing w:after="120" w:line="360" w:lineRule="auto"/>
        <w:jc w:val="both"/>
        <w:rPr>
          <w:rFonts w:ascii="Arial" w:eastAsia="Times New Roman" w:hAnsi="Arial" w:cs="Arial"/>
          <w:sz w:val="24"/>
          <w:szCs w:val="24"/>
        </w:rPr>
      </w:pPr>
    </w:p>
    <w:p w14:paraId="2532C646" w14:textId="77777777" w:rsidR="00EA6933" w:rsidRPr="00EA6933" w:rsidRDefault="00EA6933" w:rsidP="00EA6933">
      <w:pPr>
        <w:spacing w:after="120" w:line="360" w:lineRule="auto"/>
        <w:jc w:val="both"/>
        <w:rPr>
          <w:rFonts w:ascii="Arial" w:eastAsia="Times New Roman" w:hAnsi="Arial" w:cs="Arial"/>
          <w:sz w:val="24"/>
          <w:szCs w:val="24"/>
        </w:rPr>
      </w:pPr>
    </w:p>
    <w:p w14:paraId="27ED2D4B" w14:textId="77777777" w:rsidR="00EA6933" w:rsidRPr="00EA6933" w:rsidRDefault="00EA6933" w:rsidP="00EA6933">
      <w:pPr>
        <w:spacing w:after="120" w:line="360" w:lineRule="auto"/>
        <w:jc w:val="both"/>
        <w:rPr>
          <w:rFonts w:ascii="Arial" w:eastAsia="Times New Roman" w:hAnsi="Arial" w:cs="Arial"/>
          <w:sz w:val="24"/>
          <w:szCs w:val="24"/>
        </w:rPr>
      </w:pPr>
    </w:p>
    <w:p w14:paraId="50EF631F" w14:textId="77777777" w:rsidR="00EA6933" w:rsidRPr="00EA6933" w:rsidRDefault="00EA6933" w:rsidP="00EA6933">
      <w:pPr>
        <w:spacing w:after="120" w:line="360" w:lineRule="auto"/>
        <w:jc w:val="both"/>
        <w:rPr>
          <w:rFonts w:ascii="Arial" w:eastAsia="Times New Roman" w:hAnsi="Arial" w:cs="Arial"/>
          <w:sz w:val="24"/>
          <w:szCs w:val="24"/>
        </w:rPr>
      </w:pPr>
    </w:p>
    <w:p w14:paraId="0ABA840A" w14:textId="77777777" w:rsidR="00EA6933" w:rsidRPr="00EA6933" w:rsidRDefault="00EA6933" w:rsidP="00EA6933">
      <w:pPr>
        <w:spacing w:after="120" w:line="360" w:lineRule="auto"/>
        <w:jc w:val="both"/>
        <w:rPr>
          <w:rFonts w:ascii="Arial" w:eastAsia="Times New Roman" w:hAnsi="Arial" w:cs="Arial"/>
          <w:sz w:val="24"/>
          <w:szCs w:val="24"/>
        </w:rPr>
      </w:pPr>
    </w:p>
    <w:p w14:paraId="30683D10" w14:textId="77777777" w:rsidR="00EA6933" w:rsidRPr="00EA6933" w:rsidRDefault="00EA6933" w:rsidP="00EA6933">
      <w:pPr>
        <w:spacing w:after="120" w:line="360" w:lineRule="auto"/>
        <w:jc w:val="both"/>
        <w:rPr>
          <w:rFonts w:ascii="Arial" w:eastAsia="Times New Roman" w:hAnsi="Arial" w:cs="Arial"/>
          <w:sz w:val="24"/>
          <w:szCs w:val="24"/>
        </w:rPr>
      </w:pPr>
    </w:p>
    <w:p w14:paraId="2CF61FD3" w14:textId="77777777" w:rsidR="00EA6933" w:rsidRPr="00EA6933" w:rsidRDefault="00EA6933" w:rsidP="00EA6933">
      <w:pPr>
        <w:tabs>
          <w:tab w:val="left" w:pos="993"/>
        </w:tabs>
        <w:spacing w:after="0" w:line="276" w:lineRule="auto"/>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lastRenderedPageBreak/>
        <w:t>Dijagram 9. Struktura zaposlenih u organizacijskim jedinicama na dan 31.12.2024. godine</w:t>
      </w:r>
    </w:p>
    <w:p w14:paraId="792FAA8E"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Calibri" w:eastAsia="Times New Roman" w:hAnsi="Calibri" w:cs="Times New Roman"/>
          <w:noProof/>
          <w:sz w:val="21"/>
          <w:szCs w:val="21"/>
        </w:rPr>
        <w:drawing>
          <wp:inline distT="0" distB="0" distL="0" distR="0" wp14:anchorId="686B7022" wp14:editId="7CB9BCC9">
            <wp:extent cx="5759450" cy="4274820"/>
            <wp:effectExtent l="0" t="0" r="12700" b="11430"/>
            <wp:docPr id="1909342368"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AEFFAD" w14:textId="77777777" w:rsidR="00EA6933" w:rsidRPr="00EA6933" w:rsidRDefault="00EA6933" w:rsidP="00EA6933">
      <w:pPr>
        <w:tabs>
          <w:tab w:val="left" w:pos="993"/>
        </w:tabs>
        <w:spacing w:before="240" w:after="0" w:line="276" w:lineRule="auto"/>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t>Dijagram 10. Udio u strukturi zaposlenih u organizacijskim jedinicama na dan 31.12.2024. godine</w:t>
      </w:r>
    </w:p>
    <w:p w14:paraId="38934D84"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noProof/>
          <w:sz w:val="24"/>
          <w:szCs w:val="24"/>
        </w:rPr>
        <w:drawing>
          <wp:inline distT="0" distB="0" distL="0" distR="0" wp14:anchorId="7C8C758F" wp14:editId="3386E99C">
            <wp:extent cx="5759450" cy="3870960"/>
            <wp:effectExtent l="0" t="0" r="12700" b="15240"/>
            <wp:docPr id="1998920535"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11873D" w14:textId="77777777" w:rsidR="00EA6933" w:rsidRPr="00EA6933" w:rsidRDefault="00EA6933" w:rsidP="00EA6933">
      <w:pPr>
        <w:tabs>
          <w:tab w:val="left" w:pos="993"/>
        </w:tabs>
        <w:spacing w:before="240" w:after="240" w:line="276" w:lineRule="auto"/>
        <w:ind w:left="360" w:hanging="360"/>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lastRenderedPageBreak/>
        <w:t>Dijagram 11. Usporedba broja zaposlenih za period 2021.-2025. godina</w:t>
      </w:r>
    </w:p>
    <w:p w14:paraId="697DF12B" w14:textId="77777777" w:rsidR="00EA6933" w:rsidRPr="00EA6933" w:rsidRDefault="00EA6933" w:rsidP="00EA6933">
      <w:pPr>
        <w:tabs>
          <w:tab w:val="left" w:pos="993"/>
        </w:tabs>
        <w:spacing w:before="240" w:after="240" w:line="276" w:lineRule="auto"/>
        <w:ind w:left="360" w:hanging="360"/>
        <w:jc w:val="both"/>
        <w:rPr>
          <w:rFonts w:ascii="Arial" w:eastAsia="Times New Roman" w:hAnsi="Arial" w:cs="Arial"/>
          <w:bCs/>
          <w:sz w:val="24"/>
          <w:szCs w:val="24"/>
          <w:lang w:eastAsia="hr-HR"/>
        </w:rPr>
      </w:pPr>
      <w:r w:rsidRPr="00EA6933">
        <w:rPr>
          <w:rFonts w:ascii="Arial" w:eastAsia="Times New Roman" w:hAnsi="Arial" w:cs="Arial"/>
          <w:b/>
          <w:noProof/>
          <w:sz w:val="20"/>
          <w:szCs w:val="20"/>
          <w:lang w:eastAsia="hr-HR"/>
        </w:rPr>
        <w:drawing>
          <wp:inline distT="0" distB="0" distL="0" distR="0" wp14:anchorId="59BCC67C" wp14:editId="3A176175">
            <wp:extent cx="5759450" cy="4206240"/>
            <wp:effectExtent l="0" t="0" r="12700" b="3810"/>
            <wp:docPr id="500391448"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99FFCD"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 xml:space="preserve">Iz dijagrama 11. vidljivo je da ukupni broj zaposlenih u Društvu u prethodnim razdobljima kontinuirano varira. To je prvenstveno posljedica svih procesa reorganizacije i racionalizacije operativnog poslovanja Društva započetih tijekom 2022. godine i provođenih tijekom 2023. i 2024. godine. Ukupni broj zaposlenih u Društvu treba uzeti u razmatranje kao „relativan“ broj koji će varirati i u budućim razdobljima zbog prethodno navedenih razloga i činjenice da se kontinuirano povećava obujam operativnog poslovanja u segmentima održavanja grada Samobora (održavanje nerazvrstanih površina, održavanje javnih površina, održavanje javne rasvjete) i poslovima vezanim uz gospodarenje otpadom. Konačni cilj Društva je osiguranje optimalnog broja zaposlenih uz maksimalan operativni učinak.                                      </w:t>
      </w:r>
    </w:p>
    <w:p w14:paraId="71F714A4" w14:textId="77777777" w:rsidR="00EA6933" w:rsidRPr="00EA6933" w:rsidRDefault="00EA6933" w:rsidP="00EA6933">
      <w:pPr>
        <w:tabs>
          <w:tab w:val="left" w:pos="993"/>
        </w:tabs>
        <w:spacing w:after="120" w:line="276" w:lineRule="auto"/>
        <w:ind w:left="360" w:hanging="360"/>
        <w:jc w:val="both"/>
        <w:rPr>
          <w:rFonts w:ascii="Arial" w:eastAsia="Times New Roman" w:hAnsi="Arial" w:cs="Arial"/>
          <w:b/>
          <w:sz w:val="20"/>
          <w:szCs w:val="20"/>
          <w:lang w:eastAsia="hr-HR"/>
        </w:rPr>
      </w:pPr>
    </w:p>
    <w:p w14:paraId="2EDFC81F" w14:textId="77777777" w:rsidR="00EA6933" w:rsidRPr="00EA6933" w:rsidRDefault="00EA6933" w:rsidP="00EA6933">
      <w:pPr>
        <w:tabs>
          <w:tab w:val="left" w:pos="993"/>
        </w:tabs>
        <w:spacing w:after="120" w:line="276" w:lineRule="auto"/>
        <w:ind w:left="360" w:hanging="360"/>
        <w:jc w:val="both"/>
        <w:rPr>
          <w:rFonts w:ascii="Arial" w:eastAsia="Times New Roman" w:hAnsi="Arial" w:cs="Arial"/>
          <w:b/>
          <w:sz w:val="20"/>
          <w:szCs w:val="20"/>
          <w:lang w:eastAsia="hr-HR"/>
        </w:rPr>
      </w:pPr>
    </w:p>
    <w:p w14:paraId="5A0D2081" w14:textId="77777777" w:rsidR="00EA6933" w:rsidRPr="00EA6933" w:rsidRDefault="00EA6933" w:rsidP="00EA6933">
      <w:pPr>
        <w:tabs>
          <w:tab w:val="left" w:pos="993"/>
        </w:tabs>
        <w:spacing w:after="120" w:line="276" w:lineRule="auto"/>
        <w:ind w:left="360" w:hanging="360"/>
        <w:jc w:val="both"/>
        <w:rPr>
          <w:rFonts w:ascii="Arial" w:eastAsia="Times New Roman" w:hAnsi="Arial" w:cs="Arial"/>
          <w:b/>
          <w:sz w:val="20"/>
          <w:szCs w:val="20"/>
          <w:lang w:eastAsia="hr-HR"/>
        </w:rPr>
      </w:pPr>
    </w:p>
    <w:p w14:paraId="44A4ED7F" w14:textId="77777777" w:rsidR="00EA6933" w:rsidRPr="00EA6933" w:rsidRDefault="00EA6933" w:rsidP="00EA6933">
      <w:pPr>
        <w:tabs>
          <w:tab w:val="left" w:pos="993"/>
        </w:tabs>
        <w:spacing w:after="120" w:line="276" w:lineRule="auto"/>
        <w:ind w:left="360" w:hanging="360"/>
        <w:jc w:val="both"/>
        <w:rPr>
          <w:rFonts w:ascii="Arial" w:eastAsia="Times New Roman" w:hAnsi="Arial" w:cs="Arial"/>
          <w:b/>
          <w:sz w:val="20"/>
          <w:szCs w:val="20"/>
          <w:lang w:eastAsia="hr-HR"/>
        </w:rPr>
      </w:pPr>
    </w:p>
    <w:p w14:paraId="06380BEA" w14:textId="77777777" w:rsidR="00EA6933" w:rsidRPr="00EA6933" w:rsidRDefault="00EA6933" w:rsidP="00EA6933">
      <w:pPr>
        <w:tabs>
          <w:tab w:val="left" w:pos="993"/>
        </w:tabs>
        <w:spacing w:after="120" w:line="276" w:lineRule="auto"/>
        <w:ind w:left="360" w:hanging="360"/>
        <w:jc w:val="both"/>
        <w:rPr>
          <w:rFonts w:ascii="Arial" w:eastAsia="Times New Roman" w:hAnsi="Arial" w:cs="Arial"/>
          <w:b/>
          <w:sz w:val="20"/>
          <w:szCs w:val="20"/>
          <w:lang w:eastAsia="hr-HR"/>
        </w:rPr>
      </w:pPr>
    </w:p>
    <w:p w14:paraId="2F2DBD44" w14:textId="77777777" w:rsidR="00EA6933" w:rsidRPr="00EA6933" w:rsidRDefault="00EA6933" w:rsidP="00EA6933">
      <w:pPr>
        <w:tabs>
          <w:tab w:val="left" w:pos="993"/>
        </w:tabs>
        <w:spacing w:after="120" w:line="276" w:lineRule="auto"/>
        <w:ind w:left="360" w:hanging="360"/>
        <w:jc w:val="both"/>
        <w:rPr>
          <w:rFonts w:ascii="Arial" w:eastAsia="Times New Roman" w:hAnsi="Arial" w:cs="Arial"/>
          <w:b/>
          <w:sz w:val="20"/>
          <w:szCs w:val="20"/>
          <w:lang w:eastAsia="hr-HR"/>
        </w:rPr>
      </w:pPr>
    </w:p>
    <w:p w14:paraId="2EC5404F" w14:textId="77777777" w:rsidR="00EA6933" w:rsidRPr="00EA6933" w:rsidRDefault="00EA6933" w:rsidP="00EA6933">
      <w:pPr>
        <w:tabs>
          <w:tab w:val="left" w:pos="993"/>
        </w:tabs>
        <w:spacing w:after="0" w:line="276" w:lineRule="auto"/>
        <w:ind w:left="360" w:hanging="360"/>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lastRenderedPageBreak/>
        <w:t>Dijagram 12. Fluktuacija zaposlenika u periodu 2022.-2024. godina</w:t>
      </w:r>
    </w:p>
    <w:p w14:paraId="6040EC31"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Calibri" w:eastAsia="Times New Roman" w:hAnsi="Calibri" w:cs="Times New Roman"/>
          <w:noProof/>
          <w:sz w:val="21"/>
          <w:szCs w:val="21"/>
        </w:rPr>
        <w:drawing>
          <wp:inline distT="0" distB="0" distL="0" distR="0" wp14:anchorId="2E029A40" wp14:editId="34E44D70">
            <wp:extent cx="5759450" cy="3680460"/>
            <wp:effectExtent l="0" t="0" r="12700" b="15240"/>
            <wp:docPr id="282160277"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B1F74E" w14:textId="77777777" w:rsidR="00EA6933" w:rsidRPr="00EA6933" w:rsidRDefault="00EA6933" w:rsidP="00EA6933">
      <w:pPr>
        <w:spacing w:line="360" w:lineRule="auto"/>
        <w:jc w:val="both"/>
        <w:rPr>
          <w:rFonts w:ascii="Arial" w:eastAsia="Times New Roman" w:hAnsi="Arial" w:cs="Arial"/>
          <w:sz w:val="24"/>
          <w:szCs w:val="24"/>
        </w:rPr>
      </w:pPr>
      <w:r w:rsidRPr="00EA6933">
        <w:rPr>
          <w:rFonts w:ascii="Arial" w:eastAsia="Times New Roman" w:hAnsi="Arial" w:cs="Arial"/>
          <w:sz w:val="24"/>
          <w:szCs w:val="24"/>
        </w:rPr>
        <w:t>Ukupno je u periodu 2022.-2024. godina iz Društva otišlo 84 zaposlenika, a u istom razdoblju zaposleno je 74 novih zaposlenika. Tijekom 2024. godine iz Društva je otišlo 25 zaposlenika, a 30 zaposlenika zaposleno je u Društvo. Struktura fluktuacije sastoji od sljedećih elemenata: odlazak u mirovinu, sporazumni raskid ugovora o radu i otkaz ugovora o radu. Uvođenjem strategije upravljanja ljudskim potencijalima, kao jedne od osnova djelovanja Društva, jasno su definirana pravila za obavljanje i operativna efikasnost kod pojedinih radnih zadataka. Također, jasno su definirani kriteriji za zapošljavanje za pojedina radna mjesta. Sve navedeno rezultiralo je podizanjem kvalitete i efikasnosti rada zaposlenika. Visoki postotak fluktuacije zaposlenika u razdoblju 2022.-2024. godina predviđena je pojava zbog svih procesa koji se događaju u Društvu u navedenom razdoblju, a prvenstveno su posljedica reorganizacije, racionalizacije poslovanja i podizanja operativne učinkovitosti. Značajna fluktuacija zaposlenika nastavit će se i u budućim razdobljima, odnosno potrajat će do trenutka završetka svih započetih procesa i postizanja tražene operativne razine poslovanja na svim nivoima Društva.</w:t>
      </w:r>
    </w:p>
    <w:p w14:paraId="07694D92" w14:textId="77777777" w:rsidR="00EA6933" w:rsidRDefault="00EA6933" w:rsidP="00EA6933">
      <w:pPr>
        <w:tabs>
          <w:tab w:val="left" w:pos="993"/>
        </w:tabs>
        <w:spacing w:before="240" w:after="240" w:line="276" w:lineRule="auto"/>
        <w:jc w:val="both"/>
        <w:rPr>
          <w:rFonts w:ascii="Arial" w:eastAsia="Times New Roman" w:hAnsi="Arial" w:cs="Arial"/>
          <w:b/>
          <w:sz w:val="20"/>
          <w:szCs w:val="20"/>
          <w:lang w:eastAsia="hr-HR"/>
        </w:rPr>
      </w:pPr>
    </w:p>
    <w:p w14:paraId="54325C2B" w14:textId="77777777" w:rsidR="007356C2" w:rsidRPr="00EA6933" w:rsidRDefault="007356C2" w:rsidP="00EA6933">
      <w:pPr>
        <w:tabs>
          <w:tab w:val="left" w:pos="993"/>
        </w:tabs>
        <w:spacing w:before="240" w:after="240" w:line="276" w:lineRule="auto"/>
        <w:jc w:val="both"/>
        <w:rPr>
          <w:rFonts w:ascii="Arial" w:eastAsia="Times New Roman" w:hAnsi="Arial" w:cs="Arial"/>
          <w:b/>
          <w:sz w:val="20"/>
          <w:szCs w:val="20"/>
          <w:lang w:eastAsia="hr-HR"/>
        </w:rPr>
      </w:pPr>
    </w:p>
    <w:p w14:paraId="6DD19288" w14:textId="77777777" w:rsidR="00EA6933" w:rsidRPr="00EA6933" w:rsidRDefault="00EA6933" w:rsidP="00EA6933">
      <w:pPr>
        <w:tabs>
          <w:tab w:val="left" w:pos="993"/>
        </w:tabs>
        <w:spacing w:before="240" w:after="240" w:line="276" w:lineRule="auto"/>
        <w:jc w:val="both"/>
        <w:rPr>
          <w:rFonts w:ascii="Arial" w:eastAsia="Times New Roman" w:hAnsi="Arial" w:cs="Arial"/>
          <w:b/>
          <w:sz w:val="20"/>
          <w:szCs w:val="20"/>
          <w:lang w:eastAsia="hr-HR"/>
        </w:rPr>
      </w:pPr>
    </w:p>
    <w:p w14:paraId="4AC0D443" w14:textId="77777777" w:rsidR="00EA6933" w:rsidRPr="00EA6933" w:rsidRDefault="00EA6933" w:rsidP="00EA6933">
      <w:pPr>
        <w:tabs>
          <w:tab w:val="left" w:pos="993"/>
        </w:tabs>
        <w:spacing w:before="240" w:after="240" w:line="276" w:lineRule="auto"/>
        <w:jc w:val="both"/>
        <w:rPr>
          <w:rFonts w:ascii="Arial" w:eastAsia="Times New Roman" w:hAnsi="Arial" w:cs="Arial"/>
          <w:b/>
          <w:sz w:val="24"/>
          <w:szCs w:val="24"/>
          <w:lang w:eastAsia="hr-HR"/>
        </w:rPr>
      </w:pPr>
      <w:r w:rsidRPr="00EA6933">
        <w:rPr>
          <w:rFonts w:ascii="Arial" w:eastAsia="Times New Roman" w:hAnsi="Arial" w:cs="Arial"/>
          <w:b/>
          <w:sz w:val="20"/>
          <w:szCs w:val="20"/>
          <w:lang w:eastAsia="hr-HR"/>
        </w:rPr>
        <w:lastRenderedPageBreak/>
        <w:t>Tablica 1. Pregled značajnih investicija u 2024. godini</w:t>
      </w:r>
    </w:p>
    <w:tbl>
      <w:tblPr>
        <w:tblW w:w="5000" w:type="pct"/>
        <w:tblLook w:val="04A0" w:firstRow="1" w:lastRow="0" w:firstColumn="1" w:lastColumn="0" w:noHBand="0" w:noVBand="1"/>
      </w:tblPr>
      <w:tblGrid>
        <w:gridCol w:w="948"/>
        <w:gridCol w:w="5337"/>
        <w:gridCol w:w="1420"/>
        <w:gridCol w:w="1639"/>
      </w:tblGrid>
      <w:tr w:rsidR="00EA6933" w:rsidRPr="00EA6933" w14:paraId="5A4D09FD" w14:textId="77777777" w:rsidTr="007356C2">
        <w:trPr>
          <w:trHeight w:val="600"/>
        </w:trPr>
        <w:tc>
          <w:tcPr>
            <w:tcW w:w="507" w:type="pct"/>
            <w:tcBorders>
              <w:top w:val="single" w:sz="4" w:space="0" w:color="auto"/>
              <w:left w:val="single" w:sz="4" w:space="0" w:color="auto"/>
              <w:bottom w:val="single" w:sz="4" w:space="0" w:color="auto"/>
              <w:right w:val="single" w:sz="4" w:space="0" w:color="auto"/>
            </w:tcBorders>
            <w:shd w:val="clear" w:color="DCDCDC" w:fill="DCDCDC"/>
            <w:vAlign w:val="center"/>
            <w:hideMark/>
          </w:tcPr>
          <w:p w14:paraId="629BFCA2"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Redni broj</w:t>
            </w:r>
          </w:p>
        </w:tc>
        <w:tc>
          <w:tcPr>
            <w:tcW w:w="2856" w:type="pct"/>
            <w:tcBorders>
              <w:top w:val="single" w:sz="4" w:space="0" w:color="auto"/>
              <w:left w:val="nil"/>
              <w:bottom w:val="single" w:sz="4" w:space="0" w:color="auto"/>
              <w:right w:val="single" w:sz="4" w:space="0" w:color="auto"/>
            </w:tcBorders>
            <w:shd w:val="clear" w:color="DCDCDC" w:fill="DCDCDC"/>
            <w:vAlign w:val="center"/>
            <w:hideMark/>
          </w:tcPr>
          <w:p w14:paraId="1537BB14"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Naziv sredstva</w:t>
            </w:r>
          </w:p>
        </w:tc>
        <w:tc>
          <w:tcPr>
            <w:tcW w:w="760" w:type="pct"/>
            <w:tcBorders>
              <w:top w:val="single" w:sz="4" w:space="0" w:color="auto"/>
              <w:left w:val="nil"/>
              <w:bottom w:val="single" w:sz="4" w:space="0" w:color="auto"/>
              <w:right w:val="single" w:sz="4" w:space="0" w:color="auto"/>
            </w:tcBorders>
            <w:shd w:val="clear" w:color="DCDCDC" w:fill="DCDCDC"/>
            <w:vAlign w:val="center"/>
            <w:hideMark/>
          </w:tcPr>
          <w:p w14:paraId="1610BB25"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Količina</w:t>
            </w:r>
          </w:p>
        </w:tc>
        <w:tc>
          <w:tcPr>
            <w:tcW w:w="878" w:type="pct"/>
            <w:tcBorders>
              <w:top w:val="single" w:sz="4" w:space="0" w:color="auto"/>
              <w:left w:val="nil"/>
              <w:bottom w:val="single" w:sz="4" w:space="0" w:color="auto"/>
              <w:right w:val="single" w:sz="4" w:space="0" w:color="auto"/>
            </w:tcBorders>
            <w:shd w:val="clear" w:color="DCDCDC" w:fill="DCDCDC"/>
            <w:vAlign w:val="center"/>
            <w:hideMark/>
          </w:tcPr>
          <w:p w14:paraId="1AE83BDB"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Ukupna vrijednost (</w:t>
            </w:r>
            <w:r w:rsidRPr="00EA6933">
              <w:rPr>
                <w:rFonts w:ascii="Calibri" w:eastAsia="Times New Roman" w:hAnsi="Calibri" w:cs="Calibri"/>
                <w:b/>
                <w:bCs/>
                <w:color w:val="000000"/>
                <w:sz w:val="20"/>
                <w:szCs w:val="20"/>
                <w:lang w:eastAsia="hr-HR"/>
              </w:rPr>
              <w:t>€</w:t>
            </w:r>
            <w:r w:rsidRPr="00EA6933">
              <w:rPr>
                <w:rFonts w:ascii="Arial" w:eastAsia="Times New Roman" w:hAnsi="Arial" w:cs="Arial"/>
                <w:b/>
                <w:bCs/>
                <w:color w:val="000000"/>
                <w:sz w:val="20"/>
                <w:szCs w:val="20"/>
                <w:lang w:eastAsia="hr-HR"/>
              </w:rPr>
              <w:t>)</w:t>
            </w:r>
          </w:p>
        </w:tc>
      </w:tr>
      <w:tr w:rsidR="00EA6933" w:rsidRPr="00EA6933" w14:paraId="7DF927EC"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5885090C"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2856" w:type="pct"/>
            <w:tcBorders>
              <w:top w:val="nil"/>
              <w:left w:val="nil"/>
              <w:bottom w:val="single" w:sz="4" w:space="0" w:color="auto"/>
              <w:right w:val="single" w:sz="4" w:space="0" w:color="auto"/>
            </w:tcBorders>
            <w:shd w:val="clear" w:color="auto" w:fill="auto"/>
            <w:vAlign w:val="center"/>
            <w:hideMark/>
          </w:tcPr>
          <w:p w14:paraId="02B8FEE9"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 xml:space="preserve">VOZILO IVECO DAILY </w:t>
            </w:r>
          </w:p>
        </w:tc>
        <w:tc>
          <w:tcPr>
            <w:tcW w:w="760" w:type="pct"/>
            <w:tcBorders>
              <w:top w:val="nil"/>
              <w:left w:val="nil"/>
              <w:bottom w:val="single" w:sz="4" w:space="0" w:color="auto"/>
              <w:right w:val="single" w:sz="4" w:space="0" w:color="auto"/>
            </w:tcBorders>
            <w:shd w:val="clear" w:color="auto" w:fill="auto"/>
            <w:vAlign w:val="center"/>
            <w:hideMark/>
          </w:tcPr>
          <w:p w14:paraId="0E17D331"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8</w:t>
            </w:r>
          </w:p>
        </w:tc>
        <w:tc>
          <w:tcPr>
            <w:tcW w:w="878" w:type="pct"/>
            <w:tcBorders>
              <w:top w:val="nil"/>
              <w:left w:val="nil"/>
              <w:bottom w:val="single" w:sz="4" w:space="0" w:color="auto"/>
              <w:right w:val="single" w:sz="4" w:space="0" w:color="auto"/>
            </w:tcBorders>
            <w:shd w:val="clear" w:color="auto" w:fill="auto"/>
            <w:vAlign w:val="center"/>
            <w:hideMark/>
          </w:tcPr>
          <w:p w14:paraId="430DA82A"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345.600</w:t>
            </w:r>
          </w:p>
        </w:tc>
      </w:tr>
      <w:tr w:rsidR="00EA6933" w:rsidRPr="00EA6933" w14:paraId="79E358E1"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5A7D92AD"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w:t>
            </w:r>
          </w:p>
        </w:tc>
        <w:tc>
          <w:tcPr>
            <w:tcW w:w="2856" w:type="pct"/>
            <w:tcBorders>
              <w:top w:val="nil"/>
              <w:left w:val="nil"/>
              <w:bottom w:val="single" w:sz="4" w:space="0" w:color="auto"/>
              <w:right w:val="single" w:sz="4" w:space="0" w:color="auto"/>
            </w:tcBorders>
            <w:shd w:val="clear" w:color="auto" w:fill="auto"/>
            <w:vAlign w:val="center"/>
            <w:hideMark/>
          </w:tcPr>
          <w:p w14:paraId="1E70E020"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MB UNIMOG U 430</w:t>
            </w:r>
          </w:p>
        </w:tc>
        <w:tc>
          <w:tcPr>
            <w:tcW w:w="760" w:type="pct"/>
            <w:tcBorders>
              <w:top w:val="nil"/>
              <w:left w:val="nil"/>
              <w:bottom w:val="single" w:sz="4" w:space="0" w:color="auto"/>
              <w:right w:val="single" w:sz="4" w:space="0" w:color="auto"/>
            </w:tcBorders>
            <w:shd w:val="clear" w:color="auto" w:fill="auto"/>
            <w:vAlign w:val="center"/>
            <w:hideMark/>
          </w:tcPr>
          <w:p w14:paraId="6B52E6F7"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66738C89"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260.000</w:t>
            </w:r>
          </w:p>
        </w:tc>
      </w:tr>
      <w:tr w:rsidR="00EA6933" w:rsidRPr="00EA6933" w14:paraId="0A0250C8"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21D5AC45"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3</w:t>
            </w:r>
          </w:p>
        </w:tc>
        <w:tc>
          <w:tcPr>
            <w:tcW w:w="2856" w:type="pct"/>
            <w:tcBorders>
              <w:top w:val="nil"/>
              <w:left w:val="nil"/>
              <w:bottom w:val="single" w:sz="4" w:space="0" w:color="auto"/>
              <w:right w:val="single" w:sz="4" w:space="0" w:color="auto"/>
            </w:tcBorders>
            <w:shd w:val="clear" w:color="auto" w:fill="auto"/>
            <w:vAlign w:val="center"/>
            <w:hideMark/>
          </w:tcPr>
          <w:p w14:paraId="1D3EA8B6"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MB UNIMOG U 530</w:t>
            </w:r>
          </w:p>
        </w:tc>
        <w:tc>
          <w:tcPr>
            <w:tcW w:w="760" w:type="pct"/>
            <w:tcBorders>
              <w:top w:val="nil"/>
              <w:left w:val="nil"/>
              <w:bottom w:val="single" w:sz="4" w:space="0" w:color="auto"/>
              <w:right w:val="single" w:sz="4" w:space="0" w:color="auto"/>
            </w:tcBorders>
            <w:shd w:val="clear" w:color="auto" w:fill="auto"/>
            <w:vAlign w:val="center"/>
            <w:hideMark/>
          </w:tcPr>
          <w:p w14:paraId="07DB1933"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7B626D26"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266.000</w:t>
            </w:r>
          </w:p>
        </w:tc>
      </w:tr>
      <w:tr w:rsidR="00EA6933" w:rsidRPr="00EA6933" w14:paraId="14AEFDA8"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15E1B371"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4</w:t>
            </w:r>
          </w:p>
        </w:tc>
        <w:tc>
          <w:tcPr>
            <w:tcW w:w="2856" w:type="pct"/>
            <w:tcBorders>
              <w:top w:val="nil"/>
              <w:left w:val="nil"/>
              <w:bottom w:val="single" w:sz="4" w:space="0" w:color="auto"/>
              <w:right w:val="single" w:sz="4" w:space="0" w:color="auto"/>
            </w:tcBorders>
            <w:shd w:val="clear" w:color="auto" w:fill="auto"/>
            <w:vAlign w:val="center"/>
            <w:hideMark/>
          </w:tcPr>
          <w:p w14:paraId="0EADC507"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POSIPAČ ZA MOKRO POSIPAVANJE</w:t>
            </w:r>
          </w:p>
        </w:tc>
        <w:tc>
          <w:tcPr>
            <w:tcW w:w="760" w:type="pct"/>
            <w:tcBorders>
              <w:top w:val="nil"/>
              <w:left w:val="nil"/>
              <w:bottom w:val="single" w:sz="4" w:space="0" w:color="auto"/>
              <w:right w:val="single" w:sz="4" w:space="0" w:color="auto"/>
            </w:tcBorders>
            <w:shd w:val="clear" w:color="auto" w:fill="auto"/>
            <w:vAlign w:val="center"/>
            <w:hideMark/>
          </w:tcPr>
          <w:p w14:paraId="3B6C6241"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480220BE"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25.980</w:t>
            </w:r>
          </w:p>
        </w:tc>
      </w:tr>
      <w:tr w:rsidR="00EA6933" w:rsidRPr="00EA6933" w14:paraId="6668BA21"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1845C756"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5</w:t>
            </w:r>
          </w:p>
        </w:tc>
        <w:tc>
          <w:tcPr>
            <w:tcW w:w="2856" w:type="pct"/>
            <w:tcBorders>
              <w:top w:val="nil"/>
              <w:left w:val="nil"/>
              <w:bottom w:val="single" w:sz="4" w:space="0" w:color="auto"/>
              <w:right w:val="single" w:sz="4" w:space="0" w:color="auto"/>
            </w:tcBorders>
            <w:shd w:val="clear" w:color="auto" w:fill="auto"/>
            <w:vAlign w:val="center"/>
            <w:hideMark/>
          </w:tcPr>
          <w:p w14:paraId="47FCF5A6"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VIŠENAMJENSKI STROJ H RIDER P 525DX</w:t>
            </w:r>
          </w:p>
        </w:tc>
        <w:tc>
          <w:tcPr>
            <w:tcW w:w="760" w:type="pct"/>
            <w:tcBorders>
              <w:top w:val="nil"/>
              <w:left w:val="nil"/>
              <w:bottom w:val="single" w:sz="4" w:space="0" w:color="auto"/>
              <w:right w:val="single" w:sz="4" w:space="0" w:color="auto"/>
            </w:tcBorders>
            <w:shd w:val="clear" w:color="auto" w:fill="auto"/>
            <w:vAlign w:val="center"/>
            <w:hideMark/>
          </w:tcPr>
          <w:p w14:paraId="4E68BF1D"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2378A543"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22.167</w:t>
            </w:r>
          </w:p>
        </w:tc>
      </w:tr>
      <w:tr w:rsidR="00EA6933" w:rsidRPr="00EA6933" w14:paraId="2406BF84"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5AB96611"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6</w:t>
            </w:r>
          </w:p>
        </w:tc>
        <w:tc>
          <w:tcPr>
            <w:tcW w:w="2856" w:type="pct"/>
            <w:tcBorders>
              <w:top w:val="nil"/>
              <w:left w:val="nil"/>
              <w:bottom w:val="single" w:sz="4" w:space="0" w:color="auto"/>
              <w:right w:val="single" w:sz="4" w:space="0" w:color="auto"/>
            </w:tcBorders>
            <w:shd w:val="clear" w:color="auto" w:fill="auto"/>
            <w:vAlign w:val="center"/>
            <w:hideMark/>
          </w:tcPr>
          <w:p w14:paraId="158D9177"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ČISTILICA MATHIEU</w:t>
            </w:r>
          </w:p>
        </w:tc>
        <w:tc>
          <w:tcPr>
            <w:tcW w:w="760" w:type="pct"/>
            <w:tcBorders>
              <w:top w:val="nil"/>
              <w:left w:val="nil"/>
              <w:bottom w:val="single" w:sz="4" w:space="0" w:color="auto"/>
              <w:right w:val="single" w:sz="4" w:space="0" w:color="auto"/>
            </w:tcBorders>
            <w:shd w:val="clear" w:color="auto" w:fill="auto"/>
            <w:vAlign w:val="center"/>
            <w:hideMark/>
          </w:tcPr>
          <w:p w14:paraId="73123C4C"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1DA0270C"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133.310</w:t>
            </w:r>
          </w:p>
        </w:tc>
      </w:tr>
      <w:tr w:rsidR="00EA6933" w:rsidRPr="00EA6933" w14:paraId="1EB1674D"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31EE01B9"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7</w:t>
            </w:r>
          </w:p>
        </w:tc>
        <w:tc>
          <w:tcPr>
            <w:tcW w:w="2856" w:type="pct"/>
            <w:tcBorders>
              <w:top w:val="nil"/>
              <w:left w:val="nil"/>
              <w:bottom w:val="single" w:sz="4" w:space="0" w:color="auto"/>
              <w:right w:val="single" w:sz="4" w:space="0" w:color="auto"/>
            </w:tcBorders>
            <w:shd w:val="clear" w:color="auto" w:fill="auto"/>
            <w:vAlign w:val="center"/>
            <w:hideMark/>
          </w:tcPr>
          <w:p w14:paraId="12C4D6B9"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ČISTILICA RAVO</w:t>
            </w:r>
          </w:p>
        </w:tc>
        <w:tc>
          <w:tcPr>
            <w:tcW w:w="760" w:type="pct"/>
            <w:tcBorders>
              <w:top w:val="nil"/>
              <w:left w:val="nil"/>
              <w:bottom w:val="single" w:sz="4" w:space="0" w:color="auto"/>
              <w:right w:val="single" w:sz="4" w:space="0" w:color="auto"/>
            </w:tcBorders>
            <w:shd w:val="clear" w:color="auto" w:fill="auto"/>
            <w:vAlign w:val="center"/>
            <w:hideMark/>
          </w:tcPr>
          <w:p w14:paraId="246E39BF"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33AA1341"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211.690</w:t>
            </w:r>
          </w:p>
        </w:tc>
      </w:tr>
      <w:tr w:rsidR="00EA6933" w:rsidRPr="00EA6933" w14:paraId="23F7542E"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16D4C1C7"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8</w:t>
            </w:r>
          </w:p>
        </w:tc>
        <w:tc>
          <w:tcPr>
            <w:tcW w:w="2856" w:type="pct"/>
            <w:tcBorders>
              <w:top w:val="nil"/>
              <w:left w:val="nil"/>
              <w:bottom w:val="single" w:sz="4" w:space="0" w:color="auto"/>
              <w:right w:val="single" w:sz="4" w:space="0" w:color="auto"/>
            </w:tcBorders>
            <w:shd w:val="clear" w:color="auto" w:fill="auto"/>
            <w:vAlign w:val="center"/>
            <w:hideMark/>
          </w:tcPr>
          <w:p w14:paraId="7B1AA9BC"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 xml:space="preserve">VOZILO ZA PRIKUPLJANJE OTPADA </w:t>
            </w:r>
          </w:p>
        </w:tc>
        <w:tc>
          <w:tcPr>
            <w:tcW w:w="760" w:type="pct"/>
            <w:tcBorders>
              <w:top w:val="nil"/>
              <w:left w:val="nil"/>
              <w:bottom w:val="single" w:sz="4" w:space="0" w:color="auto"/>
              <w:right w:val="single" w:sz="4" w:space="0" w:color="auto"/>
            </w:tcBorders>
            <w:shd w:val="clear" w:color="auto" w:fill="auto"/>
            <w:vAlign w:val="center"/>
            <w:hideMark/>
          </w:tcPr>
          <w:p w14:paraId="48EE8536"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w:t>
            </w:r>
          </w:p>
        </w:tc>
        <w:tc>
          <w:tcPr>
            <w:tcW w:w="878" w:type="pct"/>
            <w:tcBorders>
              <w:top w:val="nil"/>
              <w:left w:val="nil"/>
              <w:bottom w:val="single" w:sz="4" w:space="0" w:color="auto"/>
              <w:right w:val="single" w:sz="4" w:space="0" w:color="auto"/>
            </w:tcBorders>
            <w:shd w:val="clear" w:color="auto" w:fill="auto"/>
            <w:vAlign w:val="center"/>
            <w:hideMark/>
          </w:tcPr>
          <w:p w14:paraId="01794276"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481.422</w:t>
            </w:r>
          </w:p>
        </w:tc>
      </w:tr>
      <w:tr w:rsidR="00EA6933" w:rsidRPr="00EA6933" w14:paraId="1C9177DA" w14:textId="77777777" w:rsidTr="007356C2">
        <w:trPr>
          <w:trHeight w:val="399"/>
        </w:trPr>
        <w:tc>
          <w:tcPr>
            <w:tcW w:w="507" w:type="pct"/>
            <w:tcBorders>
              <w:top w:val="nil"/>
              <w:left w:val="single" w:sz="4" w:space="0" w:color="auto"/>
              <w:bottom w:val="single" w:sz="4" w:space="0" w:color="auto"/>
              <w:right w:val="single" w:sz="4" w:space="0" w:color="auto"/>
            </w:tcBorders>
            <w:shd w:val="clear" w:color="auto" w:fill="auto"/>
            <w:vAlign w:val="center"/>
            <w:hideMark/>
          </w:tcPr>
          <w:p w14:paraId="62651BBD"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9</w:t>
            </w:r>
          </w:p>
        </w:tc>
        <w:tc>
          <w:tcPr>
            <w:tcW w:w="2856" w:type="pct"/>
            <w:tcBorders>
              <w:top w:val="nil"/>
              <w:left w:val="nil"/>
              <w:bottom w:val="single" w:sz="4" w:space="0" w:color="auto"/>
              <w:right w:val="single" w:sz="4" w:space="0" w:color="auto"/>
            </w:tcBorders>
            <w:shd w:val="clear" w:color="auto" w:fill="auto"/>
            <w:vAlign w:val="center"/>
            <w:hideMark/>
          </w:tcPr>
          <w:p w14:paraId="5BE5FB63"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ELEKTRIČNO VOZILO MELEX</w:t>
            </w:r>
          </w:p>
        </w:tc>
        <w:tc>
          <w:tcPr>
            <w:tcW w:w="760" w:type="pct"/>
            <w:tcBorders>
              <w:top w:val="nil"/>
              <w:left w:val="nil"/>
              <w:bottom w:val="single" w:sz="4" w:space="0" w:color="auto"/>
              <w:right w:val="single" w:sz="4" w:space="0" w:color="auto"/>
            </w:tcBorders>
            <w:shd w:val="clear" w:color="auto" w:fill="auto"/>
            <w:vAlign w:val="center"/>
            <w:hideMark/>
          </w:tcPr>
          <w:p w14:paraId="20E9DF55"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1</w:t>
            </w:r>
          </w:p>
        </w:tc>
        <w:tc>
          <w:tcPr>
            <w:tcW w:w="878" w:type="pct"/>
            <w:tcBorders>
              <w:top w:val="nil"/>
              <w:left w:val="nil"/>
              <w:bottom w:val="single" w:sz="4" w:space="0" w:color="auto"/>
              <w:right w:val="single" w:sz="4" w:space="0" w:color="auto"/>
            </w:tcBorders>
            <w:shd w:val="clear" w:color="auto" w:fill="auto"/>
            <w:vAlign w:val="center"/>
            <w:hideMark/>
          </w:tcPr>
          <w:p w14:paraId="4729759A" w14:textId="77777777" w:rsidR="00EA6933" w:rsidRPr="00EA6933" w:rsidRDefault="00EA6933" w:rsidP="00EA6933">
            <w:pPr>
              <w:spacing w:after="0" w:line="240" w:lineRule="auto"/>
              <w:jc w:val="center"/>
              <w:rPr>
                <w:rFonts w:ascii="Arial" w:eastAsia="Times New Roman" w:hAnsi="Arial" w:cs="Arial"/>
                <w:color w:val="000000"/>
                <w:sz w:val="20"/>
                <w:szCs w:val="20"/>
                <w:lang w:eastAsia="hr-HR"/>
              </w:rPr>
            </w:pPr>
            <w:r w:rsidRPr="00EA6933">
              <w:rPr>
                <w:rFonts w:ascii="Arial" w:eastAsia="Times New Roman" w:hAnsi="Arial" w:cs="Arial"/>
                <w:color w:val="000000"/>
                <w:sz w:val="20"/>
                <w:szCs w:val="20"/>
                <w:lang w:eastAsia="hr-HR"/>
              </w:rPr>
              <w:t>24.583</w:t>
            </w:r>
          </w:p>
        </w:tc>
      </w:tr>
      <w:tr w:rsidR="00EA6933" w:rsidRPr="00EA6933" w14:paraId="2B4EC0C5" w14:textId="77777777" w:rsidTr="007356C2">
        <w:trPr>
          <w:trHeight w:val="399"/>
        </w:trPr>
        <w:tc>
          <w:tcPr>
            <w:tcW w:w="507" w:type="pct"/>
            <w:tcBorders>
              <w:top w:val="nil"/>
              <w:left w:val="single" w:sz="4" w:space="0" w:color="auto"/>
              <w:bottom w:val="single" w:sz="4" w:space="0" w:color="auto"/>
              <w:right w:val="single" w:sz="4" w:space="0" w:color="auto"/>
            </w:tcBorders>
            <w:shd w:val="clear" w:color="DCDCDC" w:fill="DCDCDC"/>
            <w:vAlign w:val="center"/>
            <w:hideMark/>
          </w:tcPr>
          <w:p w14:paraId="13AFB70C"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 </w:t>
            </w:r>
          </w:p>
        </w:tc>
        <w:tc>
          <w:tcPr>
            <w:tcW w:w="2856" w:type="pct"/>
            <w:tcBorders>
              <w:top w:val="nil"/>
              <w:left w:val="nil"/>
              <w:bottom w:val="single" w:sz="4" w:space="0" w:color="auto"/>
              <w:right w:val="single" w:sz="4" w:space="0" w:color="auto"/>
            </w:tcBorders>
            <w:shd w:val="clear" w:color="DCDCDC" w:fill="DCDCDC"/>
            <w:vAlign w:val="center"/>
            <w:hideMark/>
          </w:tcPr>
          <w:p w14:paraId="570DFA76"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SVEUKUPNO:</w:t>
            </w:r>
          </w:p>
        </w:tc>
        <w:tc>
          <w:tcPr>
            <w:tcW w:w="760" w:type="pct"/>
            <w:tcBorders>
              <w:top w:val="nil"/>
              <w:left w:val="nil"/>
              <w:bottom w:val="single" w:sz="4" w:space="0" w:color="auto"/>
              <w:right w:val="single" w:sz="4" w:space="0" w:color="auto"/>
            </w:tcBorders>
            <w:shd w:val="clear" w:color="DCDCDC" w:fill="DCDCDC"/>
            <w:vAlign w:val="center"/>
            <w:hideMark/>
          </w:tcPr>
          <w:p w14:paraId="4E4E560F"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 </w:t>
            </w:r>
          </w:p>
        </w:tc>
        <w:tc>
          <w:tcPr>
            <w:tcW w:w="878" w:type="pct"/>
            <w:tcBorders>
              <w:top w:val="nil"/>
              <w:left w:val="nil"/>
              <w:bottom w:val="single" w:sz="4" w:space="0" w:color="auto"/>
              <w:right w:val="single" w:sz="4" w:space="0" w:color="auto"/>
            </w:tcBorders>
            <w:shd w:val="clear" w:color="DCDCDC" w:fill="DCDCDC"/>
            <w:vAlign w:val="center"/>
            <w:hideMark/>
          </w:tcPr>
          <w:p w14:paraId="2E486B72" w14:textId="77777777" w:rsidR="00EA6933" w:rsidRPr="00EA6933" w:rsidRDefault="00EA6933" w:rsidP="00EA6933">
            <w:pPr>
              <w:spacing w:after="0" w:line="240" w:lineRule="auto"/>
              <w:jc w:val="center"/>
              <w:rPr>
                <w:rFonts w:ascii="Arial" w:eastAsia="Times New Roman" w:hAnsi="Arial" w:cs="Arial"/>
                <w:b/>
                <w:bCs/>
                <w:color w:val="000000"/>
                <w:sz w:val="20"/>
                <w:szCs w:val="20"/>
                <w:lang w:eastAsia="hr-HR"/>
              </w:rPr>
            </w:pPr>
            <w:r w:rsidRPr="00EA6933">
              <w:rPr>
                <w:rFonts w:ascii="Arial" w:eastAsia="Times New Roman" w:hAnsi="Arial" w:cs="Arial"/>
                <w:b/>
                <w:bCs/>
                <w:color w:val="000000"/>
                <w:sz w:val="20"/>
                <w:szCs w:val="20"/>
                <w:lang w:eastAsia="hr-HR"/>
              </w:rPr>
              <w:t>1.770.751</w:t>
            </w:r>
          </w:p>
        </w:tc>
      </w:tr>
    </w:tbl>
    <w:p w14:paraId="0745FC91" w14:textId="77777777" w:rsidR="00EA6933" w:rsidRPr="00EA6933" w:rsidRDefault="00EA6933" w:rsidP="00EA6933">
      <w:pPr>
        <w:tabs>
          <w:tab w:val="left" w:pos="993"/>
        </w:tabs>
        <w:spacing w:before="240" w:after="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U 2024. godini nastavljen je proces ulaganja u vozila, strojeve i opremu prema potrebama pojedinih organizacijskih jedinica. Ukupna vrijednost značajnih investicija u</w:t>
      </w:r>
    </w:p>
    <w:p w14:paraId="22F70697" w14:textId="77777777" w:rsidR="00EA6933" w:rsidRPr="00EA6933" w:rsidRDefault="00EA6933" w:rsidP="00EA6933">
      <w:pPr>
        <w:tabs>
          <w:tab w:val="left" w:pos="993"/>
        </w:tabs>
        <w:spacing w:after="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 xml:space="preserve">2024. godini bila je na razini cca </w:t>
      </w:r>
      <w:r w:rsidRPr="00EA6933">
        <w:rPr>
          <w:rFonts w:ascii="Arial" w:eastAsia="Times New Roman" w:hAnsi="Arial" w:cs="Arial"/>
          <w:b/>
          <w:sz w:val="24"/>
          <w:szCs w:val="24"/>
          <w:lang w:eastAsia="hr-HR"/>
        </w:rPr>
        <w:t xml:space="preserve">1,77 milijuna €. </w:t>
      </w:r>
      <w:r w:rsidRPr="00EA6933">
        <w:rPr>
          <w:rFonts w:ascii="Arial" w:eastAsia="Times New Roman" w:hAnsi="Arial" w:cs="Arial"/>
          <w:bCs/>
          <w:sz w:val="24"/>
          <w:szCs w:val="24"/>
          <w:lang w:eastAsia="hr-HR"/>
        </w:rPr>
        <w:t>Cilj investicija u vozila, strojeve i opremu je zamjena dotrajalih vozila, strojeva i opreme te omogućavanje što efikasnijeg</w:t>
      </w:r>
    </w:p>
    <w:p w14:paraId="79C4A65E"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 xml:space="preserve">obavljanja operativnih zadataka, a istovremeno smanjenje troškova održavanja i servisiranja vozila, strojeva i opreme. Investicijski ciklus morat će se kontinuirano nastavati iz razloga povećanja operativnog posla i činjenice da se u prethodnim razdobljima nisu planski obnavljali kapaciteti vozila, strojeva i opreme. </w:t>
      </w:r>
    </w:p>
    <w:p w14:paraId="082F6A59"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Društvo Komunalac d.o.o. nositelj je međunarodnih certifikata ISO 9001, ISO 14001 i ISO 45001, kojima se potvrđuje da je Komunalac d.o.o. uspostavio integrirani sustav upravljanja kvalitetom. </w:t>
      </w:r>
    </w:p>
    <w:p w14:paraId="1E0F9819" w14:textId="77777777" w:rsidR="00EA6933" w:rsidRPr="00EA6933" w:rsidRDefault="00EA6933" w:rsidP="00EA6933">
      <w:pPr>
        <w:spacing w:after="120" w:line="360" w:lineRule="auto"/>
        <w:jc w:val="both"/>
        <w:rPr>
          <w:rFonts w:ascii="Arial" w:eastAsia="Times New Roman" w:hAnsi="Arial" w:cs="Arial"/>
          <w:sz w:val="24"/>
          <w:szCs w:val="24"/>
        </w:rPr>
      </w:pPr>
      <w:bookmarkStart w:id="5" w:name="_Hlk196902691"/>
      <w:r w:rsidRPr="00EA6933">
        <w:rPr>
          <w:rFonts w:ascii="Arial" w:eastAsia="Times New Roman" w:hAnsi="Arial" w:cs="Arial"/>
          <w:sz w:val="24"/>
          <w:szCs w:val="24"/>
        </w:rPr>
        <w:t xml:space="preserve">Zaštita okoliša provodi se na autobusnom kolodvoru kroz redovito periodičko praćenje emisije onečišćujućih tvari u zrak iz stacionarnog izvora tijekom procesa izgaranja goriva za dobivanje toplinske energije potrebne za grijanje objekta autobusni kolodvor. Poštujući zakonom propisane uvjete, društvo </w:t>
      </w:r>
      <w:proofErr w:type="spellStart"/>
      <w:r w:rsidRPr="00EA6933">
        <w:rPr>
          <w:rFonts w:ascii="Arial" w:eastAsia="Times New Roman" w:hAnsi="Arial" w:cs="Arial"/>
          <w:sz w:val="24"/>
          <w:szCs w:val="24"/>
        </w:rPr>
        <w:t>Cerium</w:t>
      </w:r>
      <w:proofErr w:type="spellEnd"/>
      <w:r w:rsidRPr="00EA6933">
        <w:rPr>
          <w:rFonts w:ascii="Arial" w:eastAsia="Times New Roman" w:hAnsi="Arial" w:cs="Arial"/>
          <w:sz w:val="24"/>
          <w:szCs w:val="24"/>
        </w:rPr>
        <w:t xml:space="preserve"> d.o.o. provodi potrebna mjerenja čije rezultate prijavljujemo </w:t>
      </w:r>
      <w:bookmarkStart w:id="6" w:name="_Hlk198106420"/>
      <w:r w:rsidRPr="00EA6933">
        <w:rPr>
          <w:rFonts w:ascii="Arial" w:eastAsia="Times New Roman" w:hAnsi="Arial" w:cs="Arial"/>
          <w:sz w:val="24"/>
          <w:szCs w:val="24"/>
        </w:rPr>
        <w:t xml:space="preserve">Ministarstvu zaštite okoliša i zelene tranzicije </w:t>
      </w:r>
      <w:bookmarkEnd w:id="6"/>
      <w:r w:rsidRPr="00EA6933">
        <w:rPr>
          <w:rFonts w:ascii="Arial" w:eastAsia="Times New Roman" w:hAnsi="Arial" w:cs="Arial"/>
          <w:sz w:val="24"/>
          <w:szCs w:val="24"/>
        </w:rPr>
        <w:t xml:space="preserve">u Registar malih, srednjih i velikih uređaja za loženje i srednjih i velikih plinskih turbina do 1.3. svake godine putem informacijskog sustava. </w:t>
      </w:r>
    </w:p>
    <w:p w14:paraId="574AC0A9"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lastRenderedPageBreak/>
        <w:t>Redovitim održavanjem i brigom nad procesom za dobivanje toplinske energije, potrebne za grijanje objekta autobusnog kolodvora, postižemo da rezultati mjerenja ne prelaze granične vrijednosti emisije određenih Uredbom o graničnim vrijednostima emisije onečišćujućih tvari u zrak iz stacionarnih izvora, čime smo ostvarili uvjet za upućivanje zahtjeva za promjenom statusa korisničkog računa u neaktivan.</w:t>
      </w:r>
    </w:p>
    <w:p w14:paraId="69CDFB78"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Stalnim nadzorom režima rada plinske kotlovnice ostvarene su vrijednosti emisija CO, CO2, NO i PM10 manje od vrijednosti njihovih pragova dopuštenog ispuštanja. </w:t>
      </w:r>
    </w:p>
    <w:p w14:paraId="1E350FE6"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Temeljem Zakona o gospodarenju otpadom, dužni smo i dostavljamo svake godine do 1.3. izvješće o radu za prethodnu godinu predstavničkom tijelu jedinice lokalne samouprave.</w:t>
      </w:r>
    </w:p>
    <w:p w14:paraId="74AFB435"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Sukladno Pravilniku o gospodarenju otpadom, svake godine dostavljamo Ministarstvu zaštite okoliša i zelene tranzicije podatke o količini prikupljenog otpada u prethodnoj godini. Kao davatelj javne usluge sakupljanja komunalnog otpada, kao i voditelj </w:t>
      </w:r>
      <w:proofErr w:type="spellStart"/>
      <w:r w:rsidRPr="00EA6933">
        <w:rPr>
          <w:rFonts w:ascii="Arial" w:eastAsia="Times New Roman" w:hAnsi="Arial" w:cs="Arial"/>
          <w:sz w:val="24"/>
          <w:szCs w:val="24"/>
        </w:rPr>
        <w:t>reciklažnog</w:t>
      </w:r>
      <w:proofErr w:type="spellEnd"/>
      <w:r w:rsidRPr="00EA6933">
        <w:rPr>
          <w:rFonts w:ascii="Arial" w:eastAsia="Times New Roman" w:hAnsi="Arial" w:cs="Arial"/>
          <w:sz w:val="24"/>
          <w:szCs w:val="24"/>
        </w:rPr>
        <w:t xml:space="preserve"> dvorišta, za 2024. godinu dostavili smo potrebne podatke Ministarstvu zaštite okoliša i zelene tranzicije putem propisanih obrazaca PI-1 podaci o operateru, PI-2 podaci o organizacijskoj jedinici na lokaciji, SO podaci o sakupljanju otpada, SO-1 podaci o davatelju javne usluge prikupljanja miješanog komunalnog otpada i davatelju javne usluge prikupljanja biorazgradivog komunalnog otpada te SO-3-2 podaci o </w:t>
      </w:r>
      <w:proofErr w:type="spellStart"/>
      <w:r w:rsidRPr="00EA6933">
        <w:rPr>
          <w:rFonts w:ascii="Arial" w:eastAsia="Times New Roman" w:hAnsi="Arial" w:cs="Arial"/>
          <w:sz w:val="24"/>
          <w:szCs w:val="24"/>
        </w:rPr>
        <w:t>reciklažnom</w:t>
      </w:r>
      <w:proofErr w:type="spellEnd"/>
      <w:r w:rsidRPr="00EA6933">
        <w:rPr>
          <w:rFonts w:ascii="Arial" w:eastAsia="Times New Roman" w:hAnsi="Arial" w:cs="Arial"/>
          <w:sz w:val="24"/>
          <w:szCs w:val="24"/>
        </w:rPr>
        <w:t xml:space="preserve"> dvorištu.</w:t>
      </w:r>
    </w:p>
    <w:bookmarkEnd w:id="5"/>
    <w:p w14:paraId="13A1444D" w14:textId="77777777" w:rsidR="00EA6933" w:rsidRPr="00EA6933" w:rsidRDefault="00EA6933" w:rsidP="00EA6933">
      <w:pPr>
        <w:spacing w:after="120" w:line="360" w:lineRule="auto"/>
        <w:jc w:val="both"/>
        <w:rPr>
          <w:rFonts w:ascii="Arial" w:eastAsia="Calibri" w:hAnsi="Arial" w:cs="Arial"/>
          <w:sz w:val="24"/>
          <w:szCs w:val="24"/>
        </w:rPr>
      </w:pPr>
      <w:r w:rsidRPr="00EA6933">
        <w:rPr>
          <w:rFonts w:ascii="Arial" w:eastAsia="Calibri" w:hAnsi="Arial" w:cs="Arial"/>
          <w:sz w:val="24"/>
          <w:szCs w:val="24"/>
        </w:rPr>
        <w:t xml:space="preserve">Prema obrascu SO-1, u 2024. godini s obračunskog mjesta korisnika te sa zelenih otoka sakupili smo </w:t>
      </w:r>
      <w:r w:rsidRPr="00EA6933">
        <w:rPr>
          <w:rFonts w:ascii="Arial" w:eastAsia="Calibri" w:hAnsi="Arial" w:cs="Arial"/>
          <w:b/>
          <w:bCs/>
          <w:sz w:val="24"/>
          <w:szCs w:val="24"/>
        </w:rPr>
        <w:t>7.253,49</w:t>
      </w:r>
      <w:r w:rsidRPr="00EA6933">
        <w:rPr>
          <w:rFonts w:ascii="Arial" w:eastAsia="Calibri" w:hAnsi="Arial" w:cs="Arial"/>
          <w:sz w:val="24"/>
          <w:szCs w:val="24"/>
        </w:rPr>
        <w:t xml:space="preserve"> tona miješanog komunalnog otpada, </w:t>
      </w:r>
      <w:r w:rsidRPr="00EA6933">
        <w:rPr>
          <w:rFonts w:ascii="Arial" w:eastAsia="Calibri" w:hAnsi="Arial" w:cs="Arial"/>
          <w:b/>
          <w:bCs/>
          <w:sz w:val="24"/>
          <w:szCs w:val="24"/>
        </w:rPr>
        <w:t xml:space="preserve">1.035,19 </w:t>
      </w:r>
      <w:r w:rsidRPr="00EA6933">
        <w:rPr>
          <w:rFonts w:ascii="Arial" w:eastAsia="Calibri" w:hAnsi="Arial" w:cs="Arial"/>
          <w:sz w:val="24"/>
          <w:szCs w:val="24"/>
        </w:rPr>
        <w:t xml:space="preserve">tona plastike i plastične ambalaže, </w:t>
      </w:r>
      <w:r w:rsidRPr="00EA6933">
        <w:rPr>
          <w:rFonts w:ascii="Arial" w:eastAsia="Calibri" w:hAnsi="Arial" w:cs="Arial"/>
          <w:b/>
          <w:bCs/>
          <w:sz w:val="24"/>
          <w:szCs w:val="24"/>
        </w:rPr>
        <w:t>1099,4</w:t>
      </w:r>
      <w:r w:rsidRPr="00EA6933">
        <w:rPr>
          <w:rFonts w:ascii="Arial" w:eastAsia="Calibri" w:hAnsi="Arial" w:cs="Arial"/>
          <w:sz w:val="24"/>
          <w:szCs w:val="24"/>
        </w:rPr>
        <w:t xml:space="preserve"> tona papira i kartona, </w:t>
      </w:r>
      <w:r w:rsidRPr="00EA6933">
        <w:rPr>
          <w:rFonts w:ascii="Arial" w:eastAsia="Calibri" w:hAnsi="Arial" w:cs="Arial"/>
          <w:b/>
          <w:bCs/>
          <w:sz w:val="24"/>
          <w:szCs w:val="24"/>
        </w:rPr>
        <w:t>945,6</w:t>
      </w:r>
      <w:r w:rsidRPr="00EA6933">
        <w:rPr>
          <w:rFonts w:ascii="Arial" w:eastAsia="Calibri" w:hAnsi="Arial" w:cs="Arial"/>
          <w:sz w:val="24"/>
          <w:szCs w:val="24"/>
        </w:rPr>
        <w:t xml:space="preserve"> tona biorazgradivog otpada te </w:t>
      </w:r>
      <w:r w:rsidRPr="00EA6933">
        <w:rPr>
          <w:rFonts w:ascii="Arial" w:eastAsia="Calibri" w:hAnsi="Arial" w:cs="Arial"/>
          <w:b/>
          <w:bCs/>
          <w:sz w:val="24"/>
          <w:szCs w:val="24"/>
        </w:rPr>
        <w:t>592,4</w:t>
      </w:r>
      <w:r w:rsidRPr="00EA6933">
        <w:rPr>
          <w:rFonts w:ascii="Arial" w:eastAsia="Calibri" w:hAnsi="Arial" w:cs="Arial"/>
          <w:sz w:val="24"/>
          <w:szCs w:val="24"/>
        </w:rPr>
        <w:t xml:space="preserve"> tona glomaznog otpada.</w:t>
      </w:r>
    </w:p>
    <w:p w14:paraId="2CC5F8F1" w14:textId="77777777" w:rsidR="00EA6933" w:rsidRPr="00EA6933" w:rsidRDefault="00EA6933" w:rsidP="00EA6933">
      <w:pPr>
        <w:spacing w:after="120" w:line="360" w:lineRule="auto"/>
        <w:jc w:val="both"/>
        <w:rPr>
          <w:rFonts w:ascii="Arial" w:eastAsia="Calibri" w:hAnsi="Arial" w:cs="Arial"/>
          <w:sz w:val="24"/>
          <w:szCs w:val="24"/>
        </w:rPr>
      </w:pPr>
      <w:r w:rsidRPr="00EA6933">
        <w:rPr>
          <w:rFonts w:ascii="Arial" w:eastAsia="Calibri" w:hAnsi="Arial" w:cs="Arial"/>
          <w:sz w:val="24"/>
          <w:szCs w:val="24"/>
        </w:rPr>
        <w:t xml:space="preserve">Prema obrascu SO-3-2, u 2024. godini putem </w:t>
      </w:r>
      <w:proofErr w:type="spellStart"/>
      <w:r w:rsidRPr="00EA6933">
        <w:rPr>
          <w:rFonts w:ascii="Arial" w:eastAsia="Calibri" w:hAnsi="Arial" w:cs="Arial"/>
          <w:sz w:val="24"/>
          <w:szCs w:val="24"/>
        </w:rPr>
        <w:t>reciklažnog</w:t>
      </w:r>
      <w:proofErr w:type="spellEnd"/>
      <w:r w:rsidRPr="00EA6933">
        <w:rPr>
          <w:rFonts w:ascii="Arial" w:eastAsia="Calibri" w:hAnsi="Arial" w:cs="Arial"/>
          <w:sz w:val="24"/>
          <w:szCs w:val="24"/>
        </w:rPr>
        <w:t xml:space="preserve"> dvorišta sakupili smo</w:t>
      </w:r>
      <w:r w:rsidRPr="00EA6933">
        <w:rPr>
          <w:rFonts w:ascii="Arial" w:eastAsia="Calibri" w:hAnsi="Arial" w:cs="Arial"/>
          <w:b/>
          <w:bCs/>
          <w:sz w:val="24"/>
          <w:szCs w:val="24"/>
        </w:rPr>
        <w:t xml:space="preserve"> 11,64</w:t>
      </w:r>
      <w:r w:rsidRPr="00EA6933">
        <w:rPr>
          <w:rFonts w:ascii="Arial" w:eastAsia="Calibri" w:hAnsi="Arial" w:cs="Arial"/>
          <w:sz w:val="24"/>
          <w:szCs w:val="24"/>
        </w:rPr>
        <w:t xml:space="preserve"> tone papira i kartona, </w:t>
      </w:r>
      <w:r w:rsidRPr="00EA6933">
        <w:rPr>
          <w:rFonts w:ascii="Arial" w:eastAsia="Calibri" w:hAnsi="Arial" w:cs="Arial"/>
          <w:b/>
          <w:bCs/>
          <w:sz w:val="24"/>
          <w:szCs w:val="24"/>
        </w:rPr>
        <w:t>17,224</w:t>
      </w:r>
      <w:r w:rsidRPr="00EA6933">
        <w:rPr>
          <w:rFonts w:ascii="Arial" w:eastAsia="Calibri" w:hAnsi="Arial" w:cs="Arial"/>
          <w:sz w:val="24"/>
          <w:szCs w:val="24"/>
        </w:rPr>
        <w:t xml:space="preserve"> tone plastike i plastične ambalaže, </w:t>
      </w:r>
      <w:r w:rsidRPr="00EA6933">
        <w:rPr>
          <w:rFonts w:ascii="Arial" w:eastAsia="Calibri" w:hAnsi="Arial" w:cs="Arial"/>
          <w:b/>
          <w:bCs/>
          <w:sz w:val="24"/>
          <w:szCs w:val="24"/>
        </w:rPr>
        <w:t>261,71</w:t>
      </w:r>
      <w:r w:rsidRPr="00EA6933">
        <w:rPr>
          <w:rFonts w:ascii="Arial" w:eastAsia="Calibri" w:hAnsi="Arial" w:cs="Arial"/>
          <w:sz w:val="24"/>
          <w:szCs w:val="24"/>
        </w:rPr>
        <w:t xml:space="preserve"> tonu stakla i staklene ambalaže, </w:t>
      </w:r>
      <w:r w:rsidRPr="00EA6933">
        <w:rPr>
          <w:rFonts w:ascii="Arial" w:eastAsia="Calibri" w:hAnsi="Arial" w:cs="Arial"/>
          <w:b/>
          <w:bCs/>
          <w:sz w:val="24"/>
          <w:szCs w:val="24"/>
        </w:rPr>
        <w:t>41,16</w:t>
      </w:r>
      <w:r w:rsidRPr="00EA6933">
        <w:rPr>
          <w:rFonts w:ascii="Arial" w:eastAsia="Calibri" w:hAnsi="Arial" w:cs="Arial"/>
          <w:sz w:val="24"/>
          <w:szCs w:val="24"/>
        </w:rPr>
        <w:t xml:space="preserve"> tona otpadnih guma, </w:t>
      </w:r>
      <w:r w:rsidRPr="00EA6933">
        <w:rPr>
          <w:rFonts w:ascii="Arial" w:eastAsia="Calibri" w:hAnsi="Arial" w:cs="Arial"/>
          <w:b/>
          <w:bCs/>
          <w:sz w:val="24"/>
          <w:szCs w:val="24"/>
        </w:rPr>
        <w:t>10,10</w:t>
      </w:r>
      <w:r w:rsidRPr="00EA6933">
        <w:rPr>
          <w:rFonts w:ascii="Arial" w:eastAsia="Calibri" w:hAnsi="Arial" w:cs="Arial"/>
          <w:sz w:val="24"/>
          <w:szCs w:val="24"/>
        </w:rPr>
        <w:t xml:space="preserve"> tona odjeće, </w:t>
      </w:r>
      <w:r w:rsidRPr="00EA6933">
        <w:rPr>
          <w:rFonts w:ascii="Arial" w:eastAsia="Calibri" w:hAnsi="Arial" w:cs="Arial"/>
          <w:b/>
          <w:bCs/>
          <w:sz w:val="24"/>
          <w:szCs w:val="24"/>
        </w:rPr>
        <w:t>123,70</w:t>
      </w:r>
      <w:r w:rsidRPr="00EA6933">
        <w:rPr>
          <w:rFonts w:ascii="Arial" w:eastAsia="Calibri" w:hAnsi="Arial" w:cs="Arial"/>
          <w:sz w:val="24"/>
          <w:szCs w:val="24"/>
        </w:rPr>
        <w:t xml:space="preserve"> tona građevinskog otpada, </w:t>
      </w:r>
      <w:r w:rsidRPr="00EA6933">
        <w:rPr>
          <w:rFonts w:ascii="Arial" w:eastAsia="Calibri" w:hAnsi="Arial" w:cs="Arial"/>
          <w:b/>
          <w:bCs/>
          <w:sz w:val="24"/>
          <w:szCs w:val="24"/>
        </w:rPr>
        <w:t>30,22</w:t>
      </w:r>
      <w:r w:rsidRPr="00EA6933">
        <w:rPr>
          <w:rFonts w:ascii="Arial" w:eastAsia="Calibri" w:hAnsi="Arial" w:cs="Arial"/>
          <w:sz w:val="24"/>
          <w:szCs w:val="24"/>
        </w:rPr>
        <w:t xml:space="preserve"> tone odbačene električne i elektroničke opreme, </w:t>
      </w:r>
      <w:r w:rsidRPr="00EA6933">
        <w:rPr>
          <w:rFonts w:ascii="Arial" w:eastAsia="Calibri" w:hAnsi="Arial" w:cs="Arial"/>
          <w:b/>
          <w:bCs/>
          <w:sz w:val="24"/>
          <w:szCs w:val="24"/>
        </w:rPr>
        <w:t xml:space="preserve">546,06 </w:t>
      </w:r>
      <w:r w:rsidRPr="00EA6933">
        <w:rPr>
          <w:rFonts w:ascii="Arial" w:eastAsia="Calibri" w:hAnsi="Arial" w:cs="Arial"/>
          <w:sz w:val="24"/>
          <w:szCs w:val="24"/>
        </w:rPr>
        <w:t xml:space="preserve">tona drva, </w:t>
      </w:r>
      <w:r w:rsidRPr="00EA6933">
        <w:rPr>
          <w:rFonts w:ascii="Arial" w:eastAsia="Calibri" w:hAnsi="Arial" w:cs="Arial"/>
          <w:b/>
          <w:bCs/>
          <w:sz w:val="24"/>
          <w:szCs w:val="24"/>
        </w:rPr>
        <w:t>41,016</w:t>
      </w:r>
      <w:r w:rsidRPr="00EA6933">
        <w:rPr>
          <w:rFonts w:ascii="Arial" w:eastAsia="Calibri" w:hAnsi="Arial" w:cs="Arial"/>
          <w:sz w:val="24"/>
          <w:szCs w:val="24"/>
        </w:rPr>
        <w:t xml:space="preserve"> tona metala i metalne ambalaže, </w:t>
      </w:r>
      <w:r w:rsidRPr="00EA6933">
        <w:rPr>
          <w:rFonts w:ascii="Arial" w:eastAsia="Calibri" w:hAnsi="Arial" w:cs="Arial"/>
          <w:b/>
          <w:bCs/>
          <w:sz w:val="24"/>
          <w:szCs w:val="24"/>
        </w:rPr>
        <w:t>27,982</w:t>
      </w:r>
      <w:r w:rsidRPr="00EA6933">
        <w:rPr>
          <w:rFonts w:ascii="Arial" w:eastAsia="Calibri" w:hAnsi="Arial" w:cs="Arial"/>
          <w:sz w:val="24"/>
          <w:szCs w:val="24"/>
        </w:rPr>
        <w:t xml:space="preserve"> tone ostalog neopasnog otpada i </w:t>
      </w:r>
      <w:r w:rsidRPr="00EA6933">
        <w:rPr>
          <w:rFonts w:ascii="Arial" w:eastAsia="Calibri" w:hAnsi="Arial" w:cs="Arial"/>
          <w:b/>
          <w:bCs/>
          <w:sz w:val="24"/>
          <w:szCs w:val="24"/>
        </w:rPr>
        <w:t>13,496</w:t>
      </w:r>
      <w:r w:rsidRPr="00EA6933">
        <w:rPr>
          <w:rFonts w:ascii="Arial" w:eastAsia="Calibri" w:hAnsi="Arial" w:cs="Arial"/>
          <w:sz w:val="24"/>
          <w:szCs w:val="24"/>
        </w:rPr>
        <w:t xml:space="preserve"> tona ostalog opasnog otpada.</w:t>
      </w:r>
    </w:p>
    <w:p w14:paraId="41EC0D84" w14:textId="77777777" w:rsidR="00EA6933" w:rsidRPr="00EA6933" w:rsidRDefault="00EA6933" w:rsidP="00EA6933">
      <w:pPr>
        <w:spacing w:after="0" w:line="360" w:lineRule="auto"/>
        <w:rPr>
          <w:rFonts w:ascii="Arial" w:eastAsia="Times New Roman" w:hAnsi="Arial" w:cs="Arial"/>
          <w:b/>
          <w:bCs/>
          <w:sz w:val="20"/>
          <w:szCs w:val="20"/>
        </w:rPr>
      </w:pPr>
    </w:p>
    <w:p w14:paraId="17CF643C" w14:textId="77777777" w:rsidR="00EA6933" w:rsidRPr="00EA6933" w:rsidRDefault="00EA6933" w:rsidP="00EA6933">
      <w:pPr>
        <w:spacing w:after="0" w:line="360" w:lineRule="auto"/>
        <w:rPr>
          <w:rFonts w:ascii="Arial" w:eastAsia="Times New Roman" w:hAnsi="Arial" w:cs="Arial"/>
          <w:b/>
          <w:bCs/>
          <w:sz w:val="20"/>
          <w:szCs w:val="20"/>
        </w:rPr>
      </w:pPr>
    </w:p>
    <w:p w14:paraId="0A451F20" w14:textId="77777777" w:rsidR="00EA6933" w:rsidRPr="00EA6933" w:rsidRDefault="00EA6933" w:rsidP="00EA6933">
      <w:pPr>
        <w:spacing w:after="0" w:line="360" w:lineRule="auto"/>
        <w:rPr>
          <w:rFonts w:ascii="Arial" w:eastAsia="Times New Roman" w:hAnsi="Arial" w:cs="Arial"/>
          <w:b/>
          <w:bCs/>
          <w:sz w:val="20"/>
          <w:szCs w:val="20"/>
        </w:rPr>
      </w:pPr>
    </w:p>
    <w:p w14:paraId="7C856987" w14:textId="77777777" w:rsidR="00EA6933" w:rsidRPr="00EA6933" w:rsidRDefault="00EA6933" w:rsidP="00EA6933">
      <w:pPr>
        <w:spacing w:after="0" w:line="360" w:lineRule="auto"/>
        <w:rPr>
          <w:rFonts w:ascii="Arial" w:eastAsia="Times New Roman" w:hAnsi="Arial" w:cs="Arial"/>
          <w:b/>
          <w:bCs/>
          <w:sz w:val="20"/>
          <w:szCs w:val="20"/>
        </w:rPr>
      </w:pPr>
      <w:r w:rsidRPr="00EA6933">
        <w:rPr>
          <w:rFonts w:ascii="Arial" w:eastAsia="Times New Roman" w:hAnsi="Arial" w:cs="Arial"/>
          <w:b/>
          <w:bCs/>
          <w:sz w:val="20"/>
          <w:szCs w:val="20"/>
        </w:rPr>
        <w:lastRenderedPageBreak/>
        <w:t>Dijagram 13. Količina prikupljenog komunalnog otpada za razdoblje 2020-2024. godina</w:t>
      </w:r>
    </w:p>
    <w:p w14:paraId="252E615F" w14:textId="77777777" w:rsidR="00EA6933" w:rsidRPr="00EA6933" w:rsidRDefault="00EA6933" w:rsidP="00EA6933">
      <w:pPr>
        <w:spacing w:after="0" w:line="360" w:lineRule="auto"/>
        <w:rPr>
          <w:rFonts w:ascii="Arial" w:eastAsia="Times New Roman" w:hAnsi="Arial" w:cs="Arial"/>
          <w:b/>
          <w:bCs/>
          <w:sz w:val="20"/>
          <w:szCs w:val="20"/>
        </w:rPr>
      </w:pPr>
      <w:r w:rsidRPr="00EA6933">
        <w:rPr>
          <w:rFonts w:ascii="Arial" w:eastAsia="Times New Roman" w:hAnsi="Arial" w:cs="Arial"/>
          <w:b/>
          <w:bCs/>
          <w:noProof/>
          <w:sz w:val="20"/>
          <w:szCs w:val="20"/>
        </w:rPr>
        <w:drawing>
          <wp:inline distT="0" distB="0" distL="0" distR="0" wp14:anchorId="357B8067" wp14:editId="658820A1">
            <wp:extent cx="5438775" cy="3856913"/>
            <wp:effectExtent l="0" t="0" r="9525" b="10795"/>
            <wp:docPr id="654383185" name="Grafikon 1">
              <a:extLst xmlns:a="http://schemas.openxmlformats.org/drawingml/2006/main">
                <a:ext uri="{FF2B5EF4-FFF2-40B4-BE49-F238E27FC236}">
                  <a16:creationId xmlns:a16="http://schemas.microsoft.com/office/drawing/2014/main" id="{90761EAF-AA99-5B47-FEBD-C6177AEC1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5A40C4" w14:textId="77777777" w:rsidR="00EA6933" w:rsidRPr="00EA6933" w:rsidRDefault="00EA6933" w:rsidP="00EA6933">
      <w:pPr>
        <w:spacing w:after="0" w:line="360" w:lineRule="auto"/>
        <w:rPr>
          <w:rFonts w:ascii="Arial" w:eastAsia="Times New Roman" w:hAnsi="Arial" w:cs="Arial"/>
          <w:b/>
          <w:bCs/>
          <w:sz w:val="20"/>
          <w:szCs w:val="20"/>
        </w:rPr>
      </w:pPr>
    </w:p>
    <w:p w14:paraId="44739571" w14:textId="6A15E515" w:rsidR="007356C2" w:rsidRPr="00EA6933" w:rsidRDefault="00EA6933" w:rsidP="007356C2">
      <w:pPr>
        <w:spacing w:after="0" w:line="360" w:lineRule="auto"/>
        <w:rPr>
          <w:rFonts w:ascii="Arial" w:eastAsia="Times New Roman" w:hAnsi="Arial" w:cs="Arial"/>
          <w:b/>
          <w:bCs/>
          <w:sz w:val="20"/>
          <w:szCs w:val="20"/>
        </w:rPr>
      </w:pPr>
      <w:r w:rsidRPr="00EA6933">
        <w:rPr>
          <w:rFonts w:ascii="Arial" w:eastAsia="Times New Roman" w:hAnsi="Arial" w:cs="Arial"/>
          <w:b/>
          <w:bCs/>
          <w:sz w:val="20"/>
          <w:szCs w:val="20"/>
        </w:rPr>
        <w:t xml:space="preserve">Dijagram 14. Udio MKO i odvojeno skupljenog otpada u ukupno prikupljenom komunalnom </w:t>
      </w:r>
    </w:p>
    <w:p w14:paraId="2138DBCE" w14:textId="2B06B2F7" w:rsidR="00EA6933" w:rsidRPr="00EA6933" w:rsidRDefault="00EA6933" w:rsidP="00EA6933">
      <w:pPr>
        <w:spacing w:after="0" w:line="360" w:lineRule="auto"/>
        <w:rPr>
          <w:rFonts w:ascii="Arial" w:eastAsia="Times New Roman" w:hAnsi="Arial" w:cs="Arial"/>
          <w:b/>
          <w:bCs/>
          <w:sz w:val="20"/>
          <w:szCs w:val="20"/>
        </w:rPr>
      </w:pPr>
      <w:r w:rsidRPr="00EA6933">
        <w:rPr>
          <w:rFonts w:ascii="Arial" w:eastAsia="Times New Roman" w:hAnsi="Arial" w:cs="Arial"/>
          <w:b/>
          <w:bCs/>
          <w:sz w:val="20"/>
          <w:szCs w:val="20"/>
        </w:rPr>
        <w:t>otpadu za razdoblje 2020-2024. godina</w:t>
      </w:r>
    </w:p>
    <w:p w14:paraId="1D5539D1"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noProof/>
          <w:sz w:val="24"/>
          <w:szCs w:val="24"/>
        </w:rPr>
        <w:drawing>
          <wp:inline distT="0" distB="0" distL="0" distR="0" wp14:anchorId="52DB9873" wp14:editId="152EA29D">
            <wp:extent cx="5495925" cy="3795642"/>
            <wp:effectExtent l="0" t="0" r="9525" b="14605"/>
            <wp:docPr id="1052252027" name="Grafikon 1">
              <a:extLst xmlns:a="http://schemas.openxmlformats.org/drawingml/2006/main">
                <a:ext uri="{FF2B5EF4-FFF2-40B4-BE49-F238E27FC236}">
                  <a16:creationId xmlns:a16="http://schemas.microsoft.com/office/drawing/2014/main" id="{E4A59571-70C3-1DB5-2277-FD12726BB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97C171"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lastRenderedPageBreak/>
        <w:t>Zaposlenici na svojim radnim mjestima obavljaju poslove koji odgovaraju njihovoj kvalifikacijskoj strukturi i osposobljeni su za rad na siguran način. Zaposlenici koji rade na radnim mjestima s posebnim uvjetima rada periodički se upućuju na liječničke preglede sukladno zakonskim propisima.</w:t>
      </w:r>
    </w:p>
    <w:p w14:paraId="7DE506EE"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Svi zaposleni moraju se pridržavati, ovisno o svom radnom mjestu, pravila zaštite od požara, pravila o upotrebi osobnih zaštitnih sredstava (radnici imaju odgovarajuću radnu i zaštitnu odjeću i obuću) i pravila o zaštiti na radu. </w:t>
      </w:r>
    </w:p>
    <w:p w14:paraId="5647D477"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Kontinuirano se provode stručna osposobljavanja radnika za rukovanje strojevima i mehaniziranim alatom, radi mogućnosti rukovanja istima.</w:t>
      </w:r>
    </w:p>
    <w:p w14:paraId="1CAECAC0" w14:textId="77777777" w:rsidR="00EA6933" w:rsidRPr="00EA6933" w:rsidRDefault="00EA6933" w:rsidP="00EA6933">
      <w:pPr>
        <w:numPr>
          <w:ilvl w:val="1"/>
          <w:numId w:val="5"/>
        </w:numPr>
        <w:spacing w:after="120" w:line="360" w:lineRule="auto"/>
        <w:ind w:left="567" w:hanging="567"/>
        <w:jc w:val="both"/>
        <w:rPr>
          <w:rFonts w:ascii="Arial" w:eastAsia="Times New Roman" w:hAnsi="Arial" w:cs="Arial"/>
          <w:b/>
          <w:bCs/>
          <w:sz w:val="24"/>
          <w:szCs w:val="24"/>
        </w:rPr>
      </w:pPr>
      <w:bookmarkStart w:id="7" w:name="_Hlk137551631"/>
      <w:r w:rsidRPr="00EA6933">
        <w:rPr>
          <w:rFonts w:ascii="Arial" w:eastAsia="Times New Roman" w:hAnsi="Arial" w:cs="Arial"/>
          <w:b/>
          <w:bCs/>
          <w:sz w:val="24"/>
          <w:szCs w:val="24"/>
        </w:rPr>
        <w:t>OSNOVNE KARAKTERISTIKE FUNKCIONIRANJA PO DJELATNOSTIMA</w:t>
      </w:r>
    </w:p>
    <w:bookmarkEnd w:id="7"/>
    <w:p w14:paraId="78A4E257" w14:textId="77777777" w:rsidR="00EA6933" w:rsidRPr="00EA6933" w:rsidRDefault="00EA6933" w:rsidP="00EA6933">
      <w:p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2.1.1. Održavanje nerazvrstanih cesta</w:t>
      </w:r>
    </w:p>
    <w:p w14:paraId="688C2574"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Radove na redovitom i izvanrednom održavanju nerazvrstanih cesta na području grada Samobora društvo Komunalac d.o.o. izvodilo je na temelju ugovora potpisanog s Gradom Samoborom, a sukladno usvojenom programu redovitog i izvanrednog održavanja nerazvrstanih cesta za 2024. godinu.</w:t>
      </w:r>
    </w:p>
    <w:p w14:paraId="6385CB19"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Obračun izvršenja programa izvanrednog i redovitog održavanja nerazvrstanih cesta vršio se prema troškovniku po jedinstvenoj nomenklaturi radova za tekuće održavanje nerazvrstanih cesta, a prema stvarno izvršenim količinama ovjerenim od strane nadzornih inženjera – zasebno za redovno i izvanredno održavanje nerazvrstanih cesta. Ostvareni prihod za redovno i izvanredno održavanje nerazvrstanih cesta za 2024. godinu iznosio je </w:t>
      </w:r>
      <w:r w:rsidRPr="00EA6933">
        <w:rPr>
          <w:rFonts w:ascii="Arial" w:eastAsia="Times New Roman" w:hAnsi="Arial" w:cs="Arial"/>
          <w:b/>
          <w:bCs/>
          <w:sz w:val="24"/>
          <w:szCs w:val="24"/>
        </w:rPr>
        <w:t>8.670.017 €</w:t>
      </w:r>
      <w:r w:rsidRPr="00EA6933">
        <w:rPr>
          <w:rFonts w:ascii="Arial" w:eastAsia="Times New Roman" w:hAnsi="Arial" w:cs="Arial"/>
          <w:sz w:val="24"/>
          <w:szCs w:val="24"/>
        </w:rPr>
        <w:t>.</w:t>
      </w:r>
    </w:p>
    <w:p w14:paraId="1ECD76DE"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Održavanje javnih površina</w:t>
      </w:r>
    </w:p>
    <w:p w14:paraId="4B55F4FF"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Radove na održavanju javnih površina (javne površine na kojima nije dopušten promet motornim vozilima, održavanje javnih zelenih površina, održavanje građevina i uređaja javne namjene, održavanje groblja, održavanje čistoće javnih površina i sanacija divljih deponija) na području grada Samobora društvo Komunalac d.o.o. izvodilo je na temelju ugovora potpisanog s Gradom Samoborom, a sukladno usvojenom programu održavanja javnih površina za 2024. godinu. Ostvareni prihod za održavanje javnih površina za 2024. godinu iznosio je </w:t>
      </w:r>
      <w:r w:rsidRPr="00EA6933">
        <w:rPr>
          <w:rFonts w:ascii="Arial" w:eastAsia="Times New Roman" w:hAnsi="Arial" w:cs="Arial"/>
          <w:b/>
          <w:bCs/>
          <w:sz w:val="24"/>
          <w:szCs w:val="24"/>
        </w:rPr>
        <w:t>2.365.202 €</w:t>
      </w:r>
      <w:r w:rsidRPr="00EA6933">
        <w:rPr>
          <w:rFonts w:ascii="Arial" w:eastAsia="Times New Roman" w:hAnsi="Arial" w:cs="Arial"/>
          <w:sz w:val="24"/>
          <w:szCs w:val="24"/>
        </w:rPr>
        <w:t>.</w:t>
      </w:r>
    </w:p>
    <w:p w14:paraId="3BA4A604" w14:textId="77777777" w:rsidR="00EA6933" w:rsidRPr="00EA6933" w:rsidRDefault="00EA6933" w:rsidP="00EA6933">
      <w:pPr>
        <w:spacing w:after="120" w:line="360" w:lineRule="auto"/>
        <w:jc w:val="both"/>
        <w:rPr>
          <w:rFonts w:ascii="Arial" w:eastAsia="Times New Roman" w:hAnsi="Arial" w:cs="Arial"/>
          <w:sz w:val="24"/>
          <w:szCs w:val="24"/>
        </w:rPr>
      </w:pPr>
    </w:p>
    <w:p w14:paraId="3681B6F4" w14:textId="77777777" w:rsidR="00EA6933" w:rsidRPr="00EA6933" w:rsidRDefault="00EA6933" w:rsidP="00EA6933">
      <w:pPr>
        <w:spacing w:after="120" w:line="360" w:lineRule="auto"/>
        <w:jc w:val="both"/>
        <w:rPr>
          <w:rFonts w:ascii="Arial" w:eastAsia="Times New Roman" w:hAnsi="Arial" w:cs="Arial"/>
          <w:sz w:val="24"/>
          <w:szCs w:val="24"/>
        </w:rPr>
      </w:pPr>
    </w:p>
    <w:p w14:paraId="29547DC4"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lastRenderedPageBreak/>
        <w:t xml:space="preserve">Održavanje javne rasvjete </w:t>
      </w:r>
    </w:p>
    <w:p w14:paraId="29699ADA"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Radove na održavanju javne rasvjete (redovno održavanje, hitne intervencije, zamjena svjetiljki i nepredviđeni radovi) na području grada Samobora društvo Komunalac d.o.o. izvodilo je na temelju ugovora potpisanog s Gradom Samoborom, a sukladno usvojenom programu održavanja javne rasvjete za 2024. godinu. Ostvareni prihod za održavanje javne rasvjete za 2024. godinu iznosio </w:t>
      </w:r>
      <w:r w:rsidRPr="00EA6933">
        <w:rPr>
          <w:rFonts w:ascii="Arial" w:eastAsia="Times New Roman" w:hAnsi="Arial" w:cs="Arial"/>
          <w:b/>
          <w:bCs/>
          <w:sz w:val="24"/>
          <w:szCs w:val="24"/>
        </w:rPr>
        <w:t>543.530 €.</w:t>
      </w:r>
    </w:p>
    <w:p w14:paraId="53665E15"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 xml:space="preserve">Poslovi gospodarenja otpadom </w:t>
      </w:r>
    </w:p>
    <w:p w14:paraId="19343102" w14:textId="77777777" w:rsidR="00EA6933" w:rsidRPr="00EA6933" w:rsidRDefault="00EA6933" w:rsidP="00EA6933">
      <w:pPr>
        <w:spacing w:after="120" w:line="360" w:lineRule="auto"/>
        <w:jc w:val="both"/>
        <w:rPr>
          <w:rFonts w:ascii="Arial" w:eastAsia="Times New Roman" w:hAnsi="Arial" w:cs="Arial"/>
          <w:sz w:val="24"/>
          <w:szCs w:val="24"/>
        </w:rPr>
      </w:pPr>
      <w:bookmarkStart w:id="8" w:name="_Hlk196905652"/>
      <w:r w:rsidRPr="00EA6933">
        <w:rPr>
          <w:rFonts w:ascii="Arial" w:eastAsia="Times New Roman" w:hAnsi="Arial" w:cs="Arial"/>
          <w:sz w:val="24"/>
          <w:szCs w:val="24"/>
        </w:rPr>
        <w:t>Način pružanja javne usluge sakupljanja komunalnog otpada, kao i način gospodarenja komunalnim otpadom u vezi s ovom javnom uslugom propisan je Zakonom o gospodarenju otpadom (NN 84/21 i 142/23), Pravilnikom o gospodarenju otpadom (NN 106/22 i 138/24) i Odlukom o načinu pružanja javne usluge sakupljanja komunalnog otpada na području grada Samobora (Službene vijesti Grada Samobora broj 12/22).</w:t>
      </w:r>
      <w:bookmarkStart w:id="9" w:name="_Hlk7513075"/>
      <w:r w:rsidRPr="00EA6933">
        <w:rPr>
          <w:rFonts w:ascii="Arial" w:eastAsia="Times New Roman" w:hAnsi="Arial" w:cs="Arial"/>
          <w:sz w:val="24"/>
          <w:szCs w:val="24"/>
        </w:rPr>
        <w:t xml:space="preserve"> </w:t>
      </w:r>
      <w:bookmarkEnd w:id="8"/>
      <w:r w:rsidRPr="00EA6933">
        <w:rPr>
          <w:rFonts w:ascii="Arial" w:eastAsia="Times New Roman" w:hAnsi="Arial" w:cs="Arial"/>
          <w:sz w:val="24"/>
          <w:szCs w:val="24"/>
        </w:rPr>
        <w:t xml:space="preserve">Na dan </w:t>
      </w:r>
      <w:r w:rsidRPr="00EA6933">
        <w:rPr>
          <w:rFonts w:ascii="Arial" w:eastAsia="Times New Roman" w:hAnsi="Arial" w:cs="Arial"/>
          <w:b/>
          <w:bCs/>
          <w:sz w:val="24"/>
          <w:szCs w:val="24"/>
        </w:rPr>
        <w:t>31.12.2024</w:t>
      </w:r>
      <w:r w:rsidRPr="00EA6933">
        <w:rPr>
          <w:rFonts w:ascii="Arial" w:eastAsia="Times New Roman" w:hAnsi="Arial" w:cs="Arial"/>
          <w:sz w:val="24"/>
          <w:szCs w:val="24"/>
        </w:rPr>
        <w:t xml:space="preserve">. godine, organiziranim odvozom miješanog komunalnog otpada na području grada Samobora bilo je obuhvaćeno cca </w:t>
      </w:r>
      <w:r w:rsidRPr="00EA6933">
        <w:rPr>
          <w:rFonts w:ascii="Arial" w:eastAsia="Times New Roman" w:hAnsi="Arial" w:cs="Arial"/>
          <w:b/>
          <w:bCs/>
          <w:sz w:val="24"/>
          <w:szCs w:val="24"/>
        </w:rPr>
        <w:t>13.500</w:t>
      </w:r>
      <w:r w:rsidRPr="00EA6933">
        <w:rPr>
          <w:rFonts w:ascii="Arial" w:eastAsia="Times New Roman" w:hAnsi="Arial" w:cs="Arial"/>
          <w:sz w:val="24"/>
          <w:szCs w:val="24"/>
        </w:rPr>
        <w:t xml:space="preserve"> korisnika. </w:t>
      </w:r>
      <w:bookmarkEnd w:id="9"/>
      <w:r w:rsidRPr="00EA6933">
        <w:rPr>
          <w:rFonts w:ascii="Arial" w:eastAsia="Times New Roman" w:hAnsi="Arial" w:cs="Arial"/>
          <w:sz w:val="24"/>
          <w:szCs w:val="24"/>
        </w:rPr>
        <w:t xml:space="preserve">Prihod od usluga gospodarenja otpadom (prikupljanje miješanog komunalnog otpada i ostale usluge sukladno cjeniku) za 2024. godinu iznosio je </w:t>
      </w:r>
      <w:r w:rsidRPr="00EA6933">
        <w:rPr>
          <w:rFonts w:ascii="Arial" w:eastAsia="Times New Roman" w:hAnsi="Arial" w:cs="Arial"/>
          <w:b/>
          <w:bCs/>
          <w:sz w:val="24"/>
          <w:szCs w:val="24"/>
        </w:rPr>
        <w:t>2.381.058 €</w:t>
      </w:r>
      <w:r w:rsidRPr="00EA6933">
        <w:rPr>
          <w:rFonts w:ascii="Arial" w:eastAsia="Times New Roman" w:hAnsi="Arial" w:cs="Arial"/>
          <w:sz w:val="24"/>
          <w:szCs w:val="24"/>
        </w:rPr>
        <w:t>.</w:t>
      </w:r>
    </w:p>
    <w:p w14:paraId="0248EA5A"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 xml:space="preserve">Poslovi groblja </w:t>
      </w:r>
    </w:p>
    <w:p w14:paraId="42534341"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Društvo Komunalac d.o.o. obavlja poslove održavanja groblja i obavljanja pogrebnih poslova na četiri groblja u Samoboru i to na Gradskom groblju Samobor, Gradskom groblju </w:t>
      </w:r>
      <w:proofErr w:type="spellStart"/>
      <w:r w:rsidRPr="00EA6933">
        <w:rPr>
          <w:rFonts w:ascii="Arial" w:eastAsia="Times New Roman" w:hAnsi="Arial" w:cs="Arial"/>
          <w:sz w:val="24"/>
          <w:szCs w:val="24"/>
        </w:rPr>
        <w:t>Otruševec</w:t>
      </w:r>
      <w:proofErr w:type="spellEnd"/>
      <w:r w:rsidRPr="00EA6933">
        <w:rPr>
          <w:rFonts w:ascii="Arial" w:eastAsia="Times New Roman" w:hAnsi="Arial" w:cs="Arial"/>
          <w:sz w:val="24"/>
          <w:szCs w:val="24"/>
        </w:rPr>
        <w:t xml:space="preserve">, groblju u Svetom Martinu pod Okićem i groblju u Rudama.                              Na grobljima kojima upravlja Društvo u 2024. godini nalazi se ukupno cca 7.266 grobova, odnosno cca 11.865 grobnih mjesta. U 2024. godini obavljeno je </w:t>
      </w:r>
      <w:r w:rsidRPr="00EA6933">
        <w:rPr>
          <w:rFonts w:ascii="Arial" w:eastAsia="Times New Roman" w:hAnsi="Arial" w:cs="Arial"/>
          <w:b/>
          <w:bCs/>
          <w:sz w:val="24"/>
          <w:szCs w:val="24"/>
        </w:rPr>
        <w:t>397</w:t>
      </w:r>
      <w:r w:rsidRPr="00EA6933">
        <w:rPr>
          <w:rFonts w:ascii="Arial" w:eastAsia="Times New Roman" w:hAnsi="Arial" w:cs="Arial"/>
          <w:sz w:val="24"/>
          <w:szCs w:val="24"/>
        </w:rPr>
        <w:t xml:space="preserve"> ukopa. Ukupni prihodi vezani uz poslove groblja (prihod od naknade za uređenje i održavanje groblja, prihod od usluga ukopa, prihod od prodaje grobnih okvira i kazeti za urne, prihod od prodaje pogrebne opreme) u 2024. godini iznose </w:t>
      </w:r>
      <w:r w:rsidRPr="00EA6933">
        <w:rPr>
          <w:rFonts w:ascii="Arial" w:eastAsia="Times New Roman" w:hAnsi="Arial" w:cs="Arial"/>
          <w:b/>
          <w:bCs/>
          <w:sz w:val="24"/>
          <w:szCs w:val="24"/>
        </w:rPr>
        <w:t>642.863 €</w:t>
      </w:r>
      <w:r w:rsidRPr="00EA6933">
        <w:rPr>
          <w:rFonts w:ascii="Arial" w:eastAsia="Times New Roman" w:hAnsi="Arial" w:cs="Arial"/>
          <w:sz w:val="24"/>
          <w:szCs w:val="24"/>
        </w:rPr>
        <w:t>.</w:t>
      </w:r>
    </w:p>
    <w:p w14:paraId="0F47F62D" w14:textId="77777777" w:rsidR="00EA6933" w:rsidRPr="00EA6933" w:rsidRDefault="00EA6933" w:rsidP="00EA6933">
      <w:pPr>
        <w:spacing w:after="120" w:line="360" w:lineRule="auto"/>
        <w:jc w:val="both"/>
        <w:rPr>
          <w:rFonts w:ascii="Arial" w:eastAsia="Times New Roman" w:hAnsi="Arial" w:cs="Arial"/>
          <w:b/>
          <w:bCs/>
          <w:sz w:val="20"/>
          <w:szCs w:val="20"/>
        </w:rPr>
      </w:pPr>
    </w:p>
    <w:p w14:paraId="56BBD37E" w14:textId="77777777" w:rsidR="00EA6933" w:rsidRPr="00EA6933" w:rsidRDefault="00EA6933" w:rsidP="00EA6933">
      <w:pPr>
        <w:spacing w:after="120" w:line="360" w:lineRule="auto"/>
        <w:jc w:val="both"/>
        <w:rPr>
          <w:rFonts w:ascii="Arial" w:eastAsia="Times New Roman" w:hAnsi="Arial" w:cs="Arial"/>
          <w:b/>
          <w:bCs/>
          <w:sz w:val="20"/>
          <w:szCs w:val="20"/>
        </w:rPr>
      </w:pPr>
    </w:p>
    <w:p w14:paraId="7EAD7CFC" w14:textId="77777777" w:rsidR="00EA6933" w:rsidRPr="00EA6933" w:rsidRDefault="00EA6933" w:rsidP="00EA6933">
      <w:pPr>
        <w:spacing w:after="120" w:line="360" w:lineRule="auto"/>
        <w:jc w:val="both"/>
        <w:rPr>
          <w:rFonts w:ascii="Arial" w:eastAsia="Times New Roman" w:hAnsi="Arial" w:cs="Arial"/>
          <w:b/>
          <w:bCs/>
          <w:sz w:val="20"/>
          <w:szCs w:val="20"/>
        </w:rPr>
      </w:pPr>
    </w:p>
    <w:p w14:paraId="60A0C52F" w14:textId="77777777" w:rsidR="00EA6933" w:rsidRPr="00EA6933" w:rsidRDefault="00EA6933" w:rsidP="00EA6933">
      <w:pPr>
        <w:spacing w:after="120" w:line="360" w:lineRule="auto"/>
        <w:jc w:val="both"/>
        <w:rPr>
          <w:rFonts w:ascii="Arial" w:eastAsia="Times New Roman" w:hAnsi="Arial" w:cs="Arial"/>
          <w:b/>
          <w:bCs/>
          <w:sz w:val="20"/>
          <w:szCs w:val="20"/>
        </w:rPr>
      </w:pPr>
    </w:p>
    <w:p w14:paraId="12B97CCF" w14:textId="77777777" w:rsidR="00EA6933" w:rsidRPr="00EA6933" w:rsidRDefault="00EA6933" w:rsidP="00EA6933">
      <w:pPr>
        <w:spacing w:after="120" w:line="360" w:lineRule="auto"/>
        <w:jc w:val="both"/>
        <w:rPr>
          <w:rFonts w:ascii="Arial" w:eastAsia="Times New Roman" w:hAnsi="Arial" w:cs="Arial"/>
          <w:b/>
          <w:bCs/>
          <w:sz w:val="20"/>
          <w:szCs w:val="20"/>
        </w:rPr>
      </w:pPr>
    </w:p>
    <w:p w14:paraId="70F5D7C7" w14:textId="77777777" w:rsidR="00EA6933" w:rsidRPr="00EA6933" w:rsidRDefault="00EA6933" w:rsidP="00EA6933">
      <w:pPr>
        <w:spacing w:after="120" w:line="360" w:lineRule="auto"/>
        <w:jc w:val="both"/>
        <w:rPr>
          <w:rFonts w:ascii="Arial" w:eastAsia="Times New Roman" w:hAnsi="Arial" w:cs="Arial"/>
          <w:b/>
          <w:bCs/>
          <w:sz w:val="20"/>
          <w:szCs w:val="20"/>
        </w:rPr>
      </w:pPr>
    </w:p>
    <w:p w14:paraId="2263F18B" w14:textId="77777777" w:rsidR="00EA6933" w:rsidRPr="00EA6933" w:rsidRDefault="00EA6933" w:rsidP="00EA6933">
      <w:pPr>
        <w:spacing w:after="0" w:line="360" w:lineRule="auto"/>
        <w:jc w:val="both"/>
        <w:rPr>
          <w:rFonts w:ascii="Arial" w:eastAsia="Times New Roman" w:hAnsi="Arial" w:cs="Arial"/>
          <w:b/>
          <w:bCs/>
          <w:sz w:val="20"/>
          <w:szCs w:val="20"/>
        </w:rPr>
      </w:pPr>
      <w:r w:rsidRPr="00EA6933">
        <w:rPr>
          <w:rFonts w:ascii="Arial" w:eastAsia="Times New Roman" w:hAnsi="Arial" w:cs="Arial"/>
          <w:b/>
          <w:bCs/>
          <w:sz w:val="20"/>
          <w:szCs w:val="20"/>
        </w:rPr>
        <w:lastRenderedPageBreak/>
        <w:t>Dijagram 15. Pregled broja pogreba za razdoblje 2020-2024. godina</w:t>
      </w:r>
    </w:p>
    <w:p w14:paraId="6F362BE6"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noProof/>
          <w:sz w:val="24"/>
          <w:szCs w:val="24"/>
        </w:rPr>
        <w:drawing>
          <wp:inline distT="0" distB="0" distL="0" distR="0" wp14:anchorId="02C10D57" wp14:editId="432978DB">
            <wp:extent cx="5759450" cy="4579620"/>
            <wp:effectExtent l="0" t="0" r="12700" b="11430"/>
            <wp:docPr id="1930910427" name="Grafikon 1">
              <a:extLst xmlns:a="http://schemas.openxmlformats.org/drawingml/2006/main">
                <a:ext uri="{FF2B5EF4-FFF2-40B4-BE49-F238E27FC236}">
                  <a16:creationId xmlns:a16="http://schemas.microsoft.com/office/drawing/2014/main" id="{8AB61B02-96F3-0A16-6CAE-17AAE3600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B86BEB"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Naplata javne površine i objekata</w:t>
      </w:r>
    </w:p>
    <w:p w14:paraId="29110A83"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U prihode naplate javne površine i objekata uključeni su prihodi naplate parkinga, usluga najma površina i prostora na tržnici i sajmištu te zakup poslovnog prostora na autobusnom kolodvoru.</w:t>
      </w:r>
    </w:p>
    <w:p w14:paraId="0DCD0BE6"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Naplata parkiranja u gradu Samoboru obavlja se svakim danom, osim nedjeljom i praznikom, radnim danom u vremenu od 7 do 21 sat te subotom od 7 do 15 sati.                          U zgradi autobusnog kolodvora Samobor, na tržnicama Samobor i Bregana i na prostoru sajmišta pruža se mogućnost usluge zakupa prostora za obavljanje ugostiteljskih djelatnosti i poslovnih prostora za komercijalne sadržaje te najam javne površine. Cijene su određene cjenikom i putem javnog natječaja za davanje u zakup prostora. Ukupan prihod ove djelatnosti u 2024. godini iznosio je </w:t>
      </w:r>
      <w:r w:rsidRPr="00EA6933">
        <w:rPr>
          <w:rFonts w:ascii="Arial" w:eastAsia="Times New Roman" w:hAnsi="Arial" w:cs="Arial"/>
          <w:b/>
          <w:bCs/>
          <w:sz w:val="24"/>
          <w:szCs w:val="24"/>
        </w:rPr>
        <w:t>675.482 €.</w:t>
      </w:r>
      <w:r w:rsidRPr="00EA6933">
        <w:rPr>
          <w:rFonts w:ascii="Arial" w:eastAsia="Times New Roman" w:hAnsi="Arial" w:cs="Arial"/>
          <w:sz w:val="24"/>
          <w:szCs w:val="24"/>
        </w:rPr>
        <w:t xml:space="preserve"> </w:t>
      </w:r>
    </w:p>
    <w:p w14:paraId="0E4E34E6" w14:textId="77777777" w:rsidR="00EA6933" w:rsidRPr="00EA6933" w:rsidRDefault="00EA6933" w:rsidP="00EA6933">
      <w:pPr>
        <w:spacing w:after="120" w:line="360" w:lineRule="auto"/>
        <w:jc w:val="both"/>
        <w:rPr>
          <w:rFonts w:ascii="Arial" w:eastAsia="Times New Roman" w:hAnsi="Arial" w:cs="Arial"/>
          <w:sz w:val="24"/>
          <w:szCs w:val="24"/>
        </w:rPr>
      </w:pPr>
    </w:p>
    <w:p w14:paraId="695013D3" w14:textId="77777777" w:rsidR="00EA6933" w:rsidRPr="00EA6933" w:rsidRDefault="00EA6933" w:rsidP="00EA6933">
      <w:pPr>
        <w:spacing w:after="120" w:line="360" w:lineRule="auto"/>
        <w:jc w:val="both"/>
        <w:rPr>
          <w:rFonts w:ascii="Arial" w:eastAsia="Times New Roman" w:hAnsi="Arial" w:cs="Arial"/>
          <w:sz w:val="24"/>
          <w:szCs w:val="24"/>
        </w:rPr>
      </w:pPr>
    </w:p>
    <w:p w14:paraId="40156F4D"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lastRenderedPageBreak/>
        <w:t>Upravljanje stambenim zgradama</w:t>
      </w:r>
    </w:p>
    <w:p w14:paraId="115BBB29"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Odjel upravljanja stambenim zgradama obavlja djelatnost upravljanja stambenim zgradama, tj. održavanja zajedničkih dijelova i uređaja na stambenim zgradama na području grada Samobora i grada Sveta </w:t>
      </w:r>
      <w:proofErr w:type="spellStart"/>
      <w:r w:rsidRPr="00EA6933">
        <w:rPr>
          <w:rFonts w:ascii="Arial" w:eastAsia="Times New Roman" w:hAnsi="Arial" w:cs="Arial"/>
          <w:sz w:val="24"/>
          <w:szCs w:val="24"/>
        </w:rPr>
        <w:t>Nedelja</w:t>
      </w:r>
      <w:proofErr w:type="spellEnd"/>
      <w:r w:rsidRPr="00EA6933">
        <w:rPr>
          <w:rFonts w:ascii="Arial" w:eastAsia="Times New Roman" w:hAnsi="Arial" w:cs="Arial"/>
          <w:sz w:val="24"/>
          <w:szCs w:val="24"/>
        </w:rPr>
        <w:t xml:space="preserve">. Komunalac d.o.o. je član Udruženja upravitelja nekretninama pri Hrvatskoj gospodarskoj komori i potpisnik Kodeksa poslovanja i ponašanja upravitelja nekretninama. Ukupan prihod ove djelatnosti u 2024. godini iznosio je </w:t>
      </w:r>
      <w:r w:rsidRPr="00EA6933">
        <w:rPr>
          <w:rFonts w:ascii="Arial" w:eastAsia="Times New Roman" w:hAnsi="Arial" w:cs="Arial"/>
          <w:b/>
          <w:bCs/>
          <w:sz w:val="24"/>
          <w:szCs w:val="24"/>
        </w:rPr>
        <w:t>115.043 €</w:t>
      </w:r>
      <w:r w:rsidRPr="00EA6933">
        <w:rPr>
          <w:rFonts w:ascii="Arial" w:eastAsia="Times New Roman" w:hAnsi="Arial" w:cs="Arial"/>
          <w:sz w:val="24"/>
          <w:szCs w:val="24"/>
        </w:rPr>
        <w:t>.</w:t>
      </w:r>
    </w:p>
    <w:p w14:paraId="0727D3BD" w14:textId="77777777" w:rsidR="00EA6933" w:rsidRPr="00EA6933" w:rsidRDefault="00EA6933" w:rsidP="00EA6933">
      <w:pPr>
        <w:numPr>
          <w:ilvl w:val="2"/>
          <w:numId w:val="20"/>
        </w:numPr>
        <w:tabs>
          <w:tab w:val="left" w:pos="567"/>
        </w:tabs>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 xml:space="preserve">Dimnjačarski poslovi </w:t>
      </w:r>
    </w:p>
    <w:p w14:paraId="1DF2A3D9"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Dimnjačarske poslove društvo Komunalac d.o.o. obavlja na području grada Samobora sukladno Odluci o povjeravanju obavljanja komunalnih djelatnosti (Službene vijesti Grada Samobora broj 2/19 i 6/19). Ukupan prihod ove djelatnosti u 2024. godini iznosio je </w:t>
      </w:r>
      <w:r w:rsidRPr="00EA6933">
        <w:rPr>
          <w:rFonts w:ascii="Arial" w:eastAsia="Times New Roman" w:hAnsi="Arial" w:cs="Arial"/>
          <w:b/>
          <w:bCs/>
          <w:sz w:val="24"/>
          <w:szCs w:val="24"/>
        </w:rPr>
        <w:t>83.909 €</w:t>
      </w:r>
      <w:r w:rsidRPr="00EA6933">
        <w:rPr>
          <w:rFonts w:ascii="Arial" w:eastAsia="Times New Roman" w:hAnsi="Arial" w:cs="Arial"/>
          <w:sz w:val="24"/>
          <w:szCs w:val="24"/>
        </w:rPr>
        <w:t>.</w:t>
      </w:r>
    </w:p>
    <w:p w14:paraId="0084796D" w14:textId="77777777" w:rsidR="00EA6933" w:rsidRPr="00EA6933" w:rsidRDefault="00EA6933" w:rsidP="00EA6933">
      <w:pPr>
        <w:numPr>
          <w:ilvl w:val="0"/>
          <w:numId w:val="20"/>
        </w:numPr>
        <w:spacing w:after="120" w:line="360" w:lineRule="auto"/>
        <w:jc w:val="both"/>
        <w:rPr>
          <w:rFonts w:ascii="Arial" w:eastAsia="Times New Roman" w:hAnsi="Arial" w:cs="Arial"/>
          <w:b/>
          <w:sz w:val="24"/>
          <w:szCs w:val="24"/>
        </w:rPr>
      </w:pPr>
      <w:r w:rsidRPr="00EA6933">
        <w:rPr>
          <w:rFonts w:ascii="Arial" w:eastAsia="Times New Roman" w:hAnsi="Arial" w:cs="Arial"/>
          <w:b/>
          <w:sz w:val="24"/>
          <w:szCs w:val="24"/>
        </w:rPr>
        <w:t>IZVJEŠTAJ POSLOVODSTVA</w:t>
      </w:r>
    </w:p>
    <w:p w14:paraId="753309E9" w14:textId="77777777" w:rsidR="00EA6933" w:rsidRPr="00EA6933" w:rsidRDefault="00EA6933" w:rsidP="00EA6933">
      <w:pPr>
        <w:numPr>
          <w:ilvl w:val="1"/>
          <w:numId w:val="20"/>
        </w:numPr>
        <w:spacing w:after="120" w:line="360" w:lineRule="auto"/>
        <w:ind w:left="567" w:hanging="567"/>
        <w:jc w:val="both"/>
        <w:rPr>
          <w:rFonts w:ascii="Arial" w:eastAsia="Times New Roman" w:hAnsi="Arial" w:cs="Arial"/>
          <w:b/>
          <w:bCs/>
          <w:sz w:val="24"/>
          <w:szCs w:val="24"/>
        </w:rPr>
      </w:pPr>
      <w:r w:rsidRPr="00EA6933">
        <w:rPr>
          <w:rFonts w:ascii="Arial" w:eastAsia="Times New Roman" w:hAnsi="Arial" w:cs="Arial"/>
          <w:b/>
          <w:bCs/>
          <w:sz w:val="24"/>
          <w:szCs w:val="24"/>
        </w:rPr>
        <w:t xml:space="preserve">ZNAČAJNI DOGAĐAJI NAKON PROTEKA POSLOVNE GODINE </w:t>
      </w:r>
    </w:p>
    <w:p w14:paraId="42101C24"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sz w:val="24"/>
          <w:szCs w:val="24"/>
          <w:lang w:eastAsia="hr-HR"/>
        </w:rPr>
        <w:t>I tijekom 2024. godine nastavlja se</w:t>
      </w:r>
      <w:r w:rsidRPr="00EA6933">
        <w:rPr>
          <w:rFonts w:ascii="Arial" w:eastAsia="Times New Roman" w:hAnsi="Arial" w:cs="Arial"/>
          <w:b/>
          <w:bCs/>
          <w:sz w:val="24"/>
          <w:szCs w:val="24"/>
          <w:lang w:eastAsia="hr-HR"/>
        </w:rPr>
        <w:t xml:space="preserve"> </w:t>
      </w:r>
      <w:r w:rsidRPr="00EA6933">
        <w:rPr>
          <w:rFonts w:ascii="Arial" w:eastAsia="Times New Roman" w:hAnsi="Arial" w:cs="Arial"/>
          <w:bCs/>
          <w:sz w:val="24"/>
          <w:szCs w:val="24"/>
          <w:lang w:eastAsia="hr-HR"/>
        </w:rPr>
        <w:t xml:space="preserve">globalni utjecaj na sva tržišta zbog izvanrednih događaja (raznih ratnih žarišta), koji su direktno utjecali na stanje svih tržišta u pogledu cijene sirovina i energenata, što se u konačnici manifestiralo kroz povećanje cijena konačnih proizvoda koje Društvo koristi u svim segmentima operativne djelatnosti. </w:t>
      </w:r>
      <w:r w:rsidRPr="00EA6933">
        <w:rPr>
          <w:rFonts w:ascii="Arial" w:eastAsia="Times New Roman" w:hAnsi="Arial" w:cs="Arial"/>
          <w:sz w:val="24"/>
          <w:szCs w:val="24"/>
          <w:lang w:eastAsia="hr-HR"/>
        </w:rPr>
        <w:t xml:space="preserve">Nije moguće predvidjeti daljnji razvoj situacije pa će taj utjecaj ostati usmjeren na ukupno poslovanje Društva u smislu mogućnosti rasta planiranih rashoda. </w:t>
      </w:r>
      <w:r w:rsidRPr="00EA6933">
        <w:rPr>
          <w:rFonts w:ascii="Arial" w:eastAsia="Times New Roman" w:hAnsi="Arial" w:cs="Arial"/>
          <w:bCs/>
          <w:sz w:val="24"/>
          <w:szCs w:val="24"/>
          <w:lang w:eastAsia="hr-HR"/>
        </w:rPr>
        <w:t xml:space="preserve">Značajni utjecaj na poslovanje Društva bio je prisutan na tržištu rada, odnosno u zapošljavanju operativnog kadra za sve segmente poslovanja. </w:t>
      </w:r>
    </w:p>
    <w:p w14:paraId="7F14770D" w14:textId="77777777" w:rsidR="00EA6933" w:rsidRPr="00EA6933" w:rsidRDefault="00EA6933" w:rsidP="00EA6933">
      <w:pPr>
        <w:tabs>
          <w:tab w:val="left" w:pos="993"/>
        </w:tabs>
        <w:spacing w:after="120" w:line="360" w:lineRule="auto"/>
        <w:jc w:val="both"/>
        <w:rPr>
          <w:rFonts w:ascii="Arial" w:eastAsia="Times New Roman" w:hAnsi="Arial" w:cs="Arial"/>
          <w:bCs/>
          <w:sz w:val="24"/>
          <w:szCs w:val="24"/>
          <w:lang w:eastAsia="hr-HR"/>
        </w:rPr>
      </w:pPr>
      <w:r w:rsidRPr="00EA6933">
        <w:rPr>
          <w:rFonts w:ascii="Arial" w:eastAsia="Times New Roman" w:hAnsi="Arial" w:cs="Arial"/>
          <w:bCs/>
          <w:sz w:val="24"/>
          <w:szCs w:val="24"/>
          <w:lang w:eastAsia="hr-HR"/>
        </w:rPr>
        <w:t>Iz toga razloga Društvo je tijekom 2024. godine zaposlilo određeni broj stranih radnika u operativnom segmentu, a za pretpostaviti je, s obzirom na to da na tržištu rada ne postoji tendencija promjene stanja, da će se isto nastaviti i tijekom 2025. godine.</w:t>
      </w:r>
    </w:p>
    <w:p w14:paraId="4F283617" w14:textId="77777777" w:rsidR="00EA6933" w:rsidRPr="00EA6933" w:rsidRDefault="00EA6933" w:rsidP="00EA6933">
      <w:pPr>
        <w:numPr>
          <w:ilvl w:val="1"/>
          <w:numId w:val="20"/>
        </w:numPr>
        <w:spacing w:after="120" w:line="360" w:lineRule="auto"/>
        <w:ind w:left="567" w:hanging="567"/>
        <w:jc w:val="both"/>
        <w:rPr>
          <w:rFonts w:ascii="Arial" w:eastAsia="Times New Roman" w:hAnsi="Arial" w:cs="Arial"/>
          <w:b/>
          <w:bCs/>
          <w:sz w:val="24"/>
          <w:szCs w:val="24"/>
        </w:rPr>
      </w:pPr>
      <w:r w:rsidRPr="00EA6933">
        <w:rPr>
          <w:rFonts w:ascii="Arial" w:eastAsia="Times New Roman" w:hAnsi="Arial" w:cs="Arial"/>
          <w:b/>
          <w:bCs/>
          <w:sz w:val="24"/>
          <w:szCs w:val="24"/>
        </w:rPr>
        <w:t>OČEKIVANI RAZVOJ DRUŠTVA U BUDUĆNOSTI</w:t>
      </w:r>
    </w:p>
    <w:p w14:paraId="54B000AC"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Za daljnji razvoj Društva u budućnosti potrebno je:</w:t>
      </w:r>
    </w:p>
    <w:p w14:paraId="7F16AB09" w14:textId="77777777" w:rsidR="00EA6933" w:rsidRPr="00EA6933" w:rsidRDefault="00EA6933" w:rsidP="00EA6933">
      <w:pPr>
        <w:numPr>
          <w:ilvl w:val="0"/>
          <w:numId w:val="24"/>
        </w:numPr>
        <w:tabs>
          <w:tab w:val="left" w:pos="851"/>
        </w:tabs>
        <w:spacing w:after="0" w:line="360" w:lineRule="auto"/>
        <w:ind w:left="360"/>
        <w:jc w:val="both"/>
        <w:rPr>
          <w:rFonts w:ascii="Arial" w:eastAsia="Times New Roman" w:hAnsi="Arial" w:cs="Arial"/>
          <w:sz w:val="24"/>
          <w:szCs w:val="24"/>
        </w:rPr>
      </w:pPr>
      <w:r w:rsidRPr="00EA6933">
        <w:rPr>
          <w:rFonts w:ascii="Arial" w:eastAsia="Times New Roman" w:hAnsi="Arial" w:cs="Arial"/>
          <w:sz w:val="24"/>
          <w:szCs w:val="24"/>
        </w:rPr>
        <w:t>povećati naplatu potraživanja od kupaca i poboljšati likvidnost Društva</w:t>
      </w:r>
    </w:p>
    <w:p w14:paraId="23AC6F55" w14:textId="77777777" w:rsidR="00EA6933" w:rsidRPr="00EA6933" w:rsidRDefault="00EA6933" w:rsidP="00EA6933">
      <w:pPr>
        <w:numPr>
          <w:ilvl w:val="0"/>
          <w:numId w:val="24"/>
        </w:numPr>
        <w:tabs>
          <w:tab w:val="left" w:pos="851"/>
        </w:tabs>
        <w:spacing w:after="0" w:line="360" w:lineRule="auto"/>
        <w:ind w:left="360"/>
        <w:jc w:val="both"/>
        <w:rPr>
          <w:rFonts w:ascii="Arial" w:eastAsia="Times New Roman" w:hAnsi="Arial" w:cs="Arial"/>
          <w:sz w:val="24"/>
          <w:szCs w:val="24"/>
        </w:rPr>
      </w:pPr>
      <w:r w:rsidRPr="00EA6933">
        <w:rPr>
          <w:rFonts w:ascii="Arial" w:eastAsia="Times New Roman" w:hAnsi="Arial" w:cs="Arial"/>
          <w:sz w:val="24"/>
          <w:szCs w:val="24"/>
        </w:rPr>
        <w:t>kontinuirano unaprjeđivati i digitalizirati poslovne procese</w:t>
      </w:r>
    </w:p>
    <w:p w14:paraId="2937DB7C" w14:textId="77777777" w:rsidR="00EA6933" w:rsidRPr="00EA6933" w:rsidRDefault="00EA6933" w:rsidP="00EA6933">
      <w:pPr>
        <w:numPr>
          <w:ilvl w:val="0"/>
          <w:numId w:val="24"/>
        </w:numPr>
        <w:tabs>
          <w:tab w:val="left" w:pos="851"/>
        </w:tabs>
        <w:spacing w:after="0" w:line="360" w:lineRule="auto"/>
        <w:ind w:left="360"/>
        <w:jc w:val="both"/>
        <w:rPr>
          <w:rFonts w:ascii="Arial" w:eastAsia="Times New Roman" w:hAnsi="Arial" w:cs="Arial"/>
          <w:sz w:val="24"/>
          <w:szCs w:val="24"/>
        </w:rPr>
      </w:pPr>
      <w:r w:rsidRPr="00EA6933">
        <w:rPr>
          <w:rFonts w:ascii="Arial" w:eastAsia="Times New Roman" w:hAnsi="Arial" w:cs="Arial"/>
          <w:sz w:val="24"/>
          <w:szCs w:val="24"/>
        </w:rPr>
        <w:t xml:space="preserve">iskoristiti potencijale sufinanciranja razvoja poslovanja sredstvima iz EU fondova </w:t>
      </w:r>
    </w:p>
    <w:p w14:paraId="5EEBE216" w14:textId="77777777" w:rsidR="00EA6933" w:rsidRPr="00EA6933" w:rsidRDefault="00EA6933" w:rsidP="00EA6933">
      <w:pPr>
        <w:numPr>
          <w:ilvl w:val="0"/>
          <w:numId w:val="24"/>
        </w:numPr>
        <w:tabs>
          <w:tab w:val="left" w:pos="851"/>
        </w:tabs>
        <w:spacing w:after="120" w:line="360" w:lineRule="auto"/>
        <w:ind w:left="360"/>
        <w:jc w:val="both"/>
        <w:rPr>
          <w:rFonts w:ascii="Arial" w:eastAsia="Times New Roman" w:hAnsi="Arial" w:cs="Arial"/>
          <w:sz w:val="24"/>
          <w:szCs w:val="24"/>
        </w:rPr>
      </w:pPr>
      <w:r w:rsidRPr="00EA6933">
        <w:rPr>
          <w:rFonts w:ascii="Arial" w:eastAsia="Times New Roman" w:hAnsi="Arial" w:cs="Arial"/>
          <w:sz w:val="24"/>
          <w:szCs w:val="24"/>
        </w:rPr>
        <w:lastRenderedPageBreak/>
        <w:t>kontinuirano ulagati u nabavu vozila, strojeva i opreme zbog povećanja učinkovitosti operativnog poslovanja i smanjivanja troškova održavanja.</w:t>
      </w:r>
    </w:p>
    <w:p w14:paraId="1A4D4F1F" w14:textId="77777777" w:rsidR="00EA6933" w:rsidRPr="00EA6933" w:rsidRDefault="00EA6933" w:rsidP="00EA6933">
      <w:pPr>
        <w:numPr>
          <w:ilvl w:val="1"/>
          <w:numId w:val="20"/>
        </w:numPr>
        <w:spacing w:after="120" w:line="360" w:lineRule="auto"/>
        <w:ind w:left="567" w:hanging="567"/>
        <w:jc w:val="both"/>
        <w:rPr>
          <w:rFonts w:ascii="Arial" w:eastAsia="Times New Roman" w:hAnsi="Arial" w:cs="Arial"/>
          <w:b/>
          <w:bCs/>
          <w:sz w:val="24"/>
          <w:szCs w:val="24"/>
        </w:rPr>
      </w:pPr>
      <w:r w:rsidRPr="00EA6933">
        <w:rPr>
          <w:rFonts w:ascii="Arial" w:eastAsia="Times New Roman" w:hAnsi="Arial" w:cs="Arial"/>
          <w:b/>
          <w:bCs/>
          <w:sz w:val="24"/>
          <w:szCs w:val="24"/>
        </w:rPr>
        <w:t>DJELOVANJE DRUŠTVA NA PODRUČJU ISTRAŽIVANJA I RAZVOJA</w:t>
      </w:r>
    </w:p>
    <w:p w14:paraId="22E105AC"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Društvo kontinuirano provodi aktivnosti istraživanja s ciljem povećanja kvalitete usluge koju pruža korisnicima. Društvo vodi evidenciju prigovora korisnika te istu analizira i sukladno tome poduzima potrebne radnje za unaprjeđenje poslovanja. Također, Društvo kontinuirano prati događanja na tržištu u kojem Društvo posluje kako bi se mogli uvesti novi proizvodi i usluge pomoću kojih bi se nastojale zadovoljiti potrebe postojećih korisnika.</w:t>
      </w:r>
    </w:p>
    <w:p w14:paraId="2DA34DCF" w14:textId="77777777" w:rsidR="00EA6933" w:rsidRPr="00EA6933" w:rsidRDefault="00EA6933" w:rsidP="00EA6933">
      <w:pPr>
        <w:numPr>
          <w:ilvl w:val="1"/>
          <w:numId w:val="20"/>
        </w:numPr>
        <w:spacing w:after="120" w:line="360" w:lineRule="auto"/>
        <w:ind w:left="567" w:hanging="567"/>
        <w:rPr>
          <w:rFonts w:ascii="Arial" w:eastAsia="Times New Roman" w:hAnsi="Arial" w:cs="Arial"/>
          <w:b/>
          <w:bCs/>
          <w:sz w:val="24"/>
          <w:szCs w:val="24"/>
        </w:rPr>
      </w:pPr>
      <w:r w:rsidRPr="00EA6933">
        <w:rPr>
          <w:rFonts w:ascii="Arial" w:eastAsia="Times New Roman" w:hAnsi="Arial" w:cs="Arial"/>
          <w:b/>
          <w:bCs/>
          <w:sz w:val="24"/>
          <w:szCs w:val="24"/>
        </w:rPr>
        <w:t>INFORMACIJE O FINANCIJSKIM INSTRUMENTIMA BITNIM ZA POSLOVANJE DRUŠTVA</w:t>
      </w:r>
    </w:p>
    <w:p w14:paraId="6CECCC1F"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Društvo je izdalo instrumente osiguranja po dugoročnim kreditima i za financijske lizinge, za koje se ne očekuje da bi mogli biti naplaćeni jer se obveze redovno podmiruju.</w:t>
      </w:r>
    </w:p>
    <w:p w14:paraId="535FBDDE" w14:textId="77777777" w:rsidR="00EA6933" w:rsidRPr="00EA6933" w:rsidRDefault="00EA6933" w:rsidP="00EA6933">
      <w:pPr>
        <w:numPr>
          <w:ilvl w:val="1"/>
          <w:numId w:val="20"/>
        </w:numPr>
        <w:spacing w:after="120" w:line="360" w:lineRule="auto"/>
        <w:ind w:left="567" w:hanging="567"/>
        <w:jc w:val="both"/>
        <w:rPr>
          <w:rFonts w:ascii="Arial" w:eastAsia="Times New Roman" w:hAnsi="Arial" w:cs="Arial"/>
          <w:b/>
          <w:bCs/>
          <w:sz w:val="24"/>
          <w:szCs w:val="24"/>
        </w:rPr>
      </w:pPr>
      <w:r w:rsidRPr="00EA6933">
        <w:rPr>
          <w:rFonts w:ascii="Arial" w:eastAsia="Times New Roman" w:hAnsi="Arial" w:cs="Arial"/>
          <w:b/>
          <w:bCs/>
          <w:sz w:val="24"/>
          <w:szCs w:val="24"/>
        </w:rPr>
        <w:t>IZLOŽENOST DRUŠTVA RIZICIMA I UPRAVLJANJE RIZICIMA</w:t>
      </w:r>
    </w:p>
    <w:p w14:paraId="1B03CA30" w14:textId="77777777" w:rsidR="00EA6933" w:rsidRPr="00EA6933" w:rsidRDefault="00EA6933" w:rsidP="00EA6933">
      <w:pPr>
        <w:spacing w:after="120" w:line="360" w:lineRule="auto"/>
        <w:rPr>
          <w:rFonts w:ascii="Arial" w:eastAsia="Times New Roman" w:hAnsi="Arial" w:cs="Arial"/>
          <w:sz w:val="24"/>
          <w:szCs w:val="24"/>
        </w:rPr>
      </w:pPr>
      <w:r w:rsidRPr="00EA6933">
        <w:rPr>
          <w:rFonts w:ascii="Arial" w:eastAsia="Times New Roman" w:hAnsi="Arial" w:cs="Arial"/>
          <w:sz w:val="24"/>
          <w:szCs w:val="24"/>
        </w:rPr>
        <w:t>Glavni rizici u poslovanju su:</w:t>
      </w:r>
    </w:p>
    <w:p w14:paraId="7B70536C" w14:textId="77777777" w:rsidR="00EA6933" w:rsidRPr="00EA6933" w:rsidRDefault="00EA6933" w:rsidP="00EA6933">
      <w:pPr>
        <w:numPr>
          <w:ilvl w:val="0"/>
          <w:numId w:val="25"/>
        </w:numPr>
        <w:spacing w:after="0" w:line="360" w:lineRule="auto"/>
        <w:ind w:left="360"/>
        <w:rPr>
          <w:rFonts w:ascii="Arial" w:eastAsia="Times New Roman" w:hAnsi="Arial" w:cs="Arial"/>
          <w:sz w:val="24"/>
          <w:szCs w:val="24"/>
        </w:rPr>
      </w:pPr>
      <w:r w:rsidRPr="00EA6933">
        <w:rPr>
          <w:rFonts w:ascii="Arial" w:eastAsia="Times New Roman" w:hAnsi="Arial" w:cs="Arial"/>
          <w:sz w:val="24"/>
          <w:szCs w:val="24"/>
        </w:rPr>
        <w:t>cjenovni rizik</w:t>
      </w:r>
    </w:p>
    <w:p w14:paraId="1F3D5B16" w14:textId="77777777" w:rsidR="00EA6933" w:rsidRPr="00EA6933" w:rsidRDefault="00EA6933" w:rsidP="00EA6933">
      <w:pPr>
        <w:numPr>
          <w:ilvl w:val="0"/>
          <w:numId w:val="25"/>
        </w:numPr>
        <w:spacing w:after="0" w:line="360" w:lineRule="auto"/>
        <w:ind w:left="360"/>
        <w:rPr>
          <w:rFonts w:ascii="Arial" w:eastAsia="Times New Roman" w:hAnsi="Arial" w:cs="Arial"/>
          <w:sz w:val="24"/>
          <w:szCs w:val="24"/>
        </w:rPr>
      </w:pPr>
      <w:r w:rsidRPr="00EA6933">
        <w:rPr>
          <w:rFonts w:ascii="Arial" w:eastAsia="Times New Roman" w:hAnsi="Arial" w:cs="Arial"/>
          <w:sz w:val="24"/>
          <w:szCs w:val="24"/>
        </w:rPr>
        <w:t>izloženost Društva kreditnom riziku</w:t>
      </w:r>
    </w:p>
    <w:p w14:paraId="0FDC106B" w14:textId="77777777" w:rsidR="00EA6933" w:rsidRPr="00EA6933" w:rsidRDefault="00EA6933" w:rsidP="00EA6933">
      <w:pPr>
        <w:numPr>
          <w:ilvl w:val="0"/>
          <w:numId w:val="25"/>
        </w:numPr>
        <w:spacing w:after="120" w:line="360" w:lineRule="auto"/>
        <w:ind w:left="360"/>
        <w:rPr>
          <w:rFonts w:ascii="Arial" w:eastAsia="Times New Roman" w:hAnsi="Arial" w:cs="Arial"/>
          <w:sz w:val="24"/>
          <w:szCs w:val="24"/>
        </w:rPr>
      </w:pPr>
      <w:r w:rsidRPr="00EA6933">
        <w:rPr>
          <w:rFonts w:ascii="Arial" w:eastAsia="Times New Roman" w:hAnsi="Arial" w:cs="Arial"/>
          <w:sz w:val="24"/>
          <w:szCs w:val="24"/>
        </w:rPr>
        <w:t>procesni rizik.</w:t>
      </w:r>
    </w:p>
    <w:p w14:paraId="086E9FE8"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Cjenovni rizik proizlazi iz </w:t>
      </w:r>
      <w:proofErr w:type="spellStart"/>
      <w:r w:rsidRPr="00EA6933">
        <w:rPr>
          <w:rFonts w:ascii="Arial" w:eastAsia="Times New Roman" w:hAnsi="Arial" w:cs="Arial"/>
          <w:sz w:val="24"/>
          <w:szCs w:val="24"/>
        </w:rPr>
        <w:t>neishođenja</w:t>
      </w:r>
      <w:proofErr w:type="spellEnd"/>
      <w:r w:rsidRPr="00EA6933">
        <w:rPr>
          <w:rFonts w:ascii="Arial" w:eastAsia="Times New Roman" w:hAnsi="Arial" w:cs="Arial"/>
          <w:sz w:val="24"/>
          <w:szCs w:val="24"/>
        </w:rPr>
        <w:t xml:space="preserve"> suglasnosti na prijedlog cjenika usluga Društva, što može utjecati na poslovni rezultat. Društvo upravlja predmetnim rizikom na način da detaljnom elaboracijom pruži podlogu za davanje suglasnosti na promjene cijena usluga. Sve kreditne obveze i obveze po lizingu ugovorene su s fiksnom kamatnom stopom te ocjenjujemo da nema znatnog rizika promjene kamatnih stopa koji bi utjecali na poslovanje. Društvo je identificiralo procesne rizike i upravlja rizicima koji proizlaze iz poslovnih procesa na način opisan u katalozima procesa integriranog sustava upravljanja.</w:t>
      </w:r>
    </w:p>
    <w:p w14:paraId="16F94241" w14:textId="77777777" w:rsidR="00EA6933" w:rsidRPr="00EA6933" w:rsidRDefault="00EA6933" w:rsidP="00EA6933">
      <w:pPr>
        <w:numPr>
          <w:ilvl w:val="1"/>
          <w:numId w:val="20"/>
        </w:numPr>
        <w:spacing w:after="120" w:line="360" w:lineRule="auto"/>
        <w:ind w:left="567" w:hanging="567"/>
        <w:rPr>
          <w:rFonts w:ascii="Arial" w:eastAsia="Times New Roman" w:hAnsi="Arial" w:cs="Arial"/>
          <w:b/>
          <w:bCs/>
          <w:sz w:val="24"/>
          <w:szCs w:val="24"/>
        </w:rPr>
      </w:pPr>
      <w:r w:rsidRPr="00EA6933">
        <w:rPr>
          <w:rFonts w:ascii="Arial" w:eastAsia="Times New Roman" w:hAnsi="Arial" w:cs="Arial"/>
          <w:b/>
          <w:bCs/>
          <w:sz w:val="24"/>
          <w:szCs w:val="24"/>
        </w:rPr>
        <w:t>INFORMACIJE O STJECANJU VLASTITIH DIONICA I INFORMACIJE O PODRUŽNICAMA DRUŠTVA</w:t>
      </w:r>
    </w:p>
    <w:p w14:paraId="736F6937" w14:textId="77777777" w:rsidR="00EA6933" w:rsidRPr="00EA6933" w:rsidRDefault="00EA6933" w:rsidP="00EA6933">
      <w:pPr>
        <w:spacing w:after="480" w:line="360" w:lineRule="auto"/>
        <w:rPr>
          <w:rFonts w:ascii="Arial" w:eastAsia="Times New Roman" w:hAnsi="Arial" w:cs="Arial"/>
        </w:rPr>
      </w:pPr>
      <w:r w:rsidRPr="00EA6933">
        <w:rPr>
          <w:rFonts w:ascii="Arial" w:eastAsia="Times New Roman" w:hAnsi="Arial" w:cs="Arial"/>
        </w:rPr>
        <w:t>Društvo nema vlastitih dionica i podružnica.</w:t>
      </w:r>
    </w:p>
    <w:p w14:paraId="14244643" w14:textId="77777777" w:rsidR="00EA6933" w:rsidRPr="00EA6933" w:rsidRDefault="00EA6933" w:rsidP="00EA6933">
      <w:pPr>
        <w:numPr>
          <w:ilvl w:val="0"/>
          <w:numId w:val="20"/>
        </w:numPr>
        <w:tabs>
          <w:tab w:val="left" w:pos="567"/>
        </w:tabs>
        <w:spacing w:after="120" w:line="276" w:lineRule="auto"/>
        <w:ind w:left="567" w:hanging="567"/>
        <w:jc w:val="both"/>
        <w:rPr>
          <w:rFonts w:ascii="Arial" w:eastAsia="Times New Roman" w:hAnsi="Arial" w:cs="Arial"/>
          <w:b/>
          <w:sz w:val="24"/>
          <w:szCs w:val="24"/>
        </w:rPr>
      </w:pPr>
      <w:r w:rsidRPr="00EA6933">
        <w:rPr>
          <w:rFonts w:ascii="Arial" w:eastAsia="Times New Roman" w:hAnsi="Arial" w:cs="Arial"/>
          <w:b/>
          <w:sz w:val="24"/>
          <w:szCs w:val="24"/>
        </w:rPr>
        <w:lastRenderedPageBreak/>
        <w:t>FINANCIJSKI IZVJEŠTAJI</w:t>
      </w:r>
    </w:p>
    <w:p w14:paraId="4EA845BD" w14:textId="77777777" w:rsidR="00EA6933" w:rsidRPr="00EA6933" w:rsidRDefault="00EA6933" w:rsidP="00EA6933">
      <w:pPr>
        <w:numPr>
          <w:ilvl w:val="1"/>
          <w:numId w:val="20"/>
        </w:numPr>
        <w:spacing w:before="240" w:after="120" w:line="276" w:lineRule="auto"/>
        <w:jc w:val="both"/>
        <w:rPr>
          <w:rFonts w:ascii="Arial" w:eastAsia="Times New Roman" w:hAnsi="Arial" w:cs="Arial"/>
          <w:b/>
          <w:bCs/>
          <w:sz w:val="24"/>
          <w:szCs w:val="24"/>
        </w:rPr>
      </w:pPr>
      <w:r w:rsidRPr="00EA6933">
        <w:rPr>
          <w:rFonts w:ascii="Arial" w:eastAsia="Times New Roman" w:hAnsi="Arial" w:cs="Arial"/>
          <w:b/>
          <w:bCs/>
          <w:sz w:val="24"/>
          <w:szCs w:val="24"/>
        </w:rPr>
        <w:t>BILANCA</w:t>
      </w:r>
    </w:p>
    <w:p w14:paraId="288855DA" w14:textId="77777777" w:rsidR="00EA6933" w:rsidRPr="00EA6933" w:rsidRDefault="00EA6933" w:rsidP="00EA6933">
      <w:pPr>
        <w:keepNext/>
        <w:spacing w:line="240" w:lineRule="auto"/>
        <w:rPr>
          <w:rFonts w:ascii="Arial" w:eastAsia="Times New Roman" w:hAnsi="Arial" w:cs="Arial"/>
          <w:b/>
          <w:spacing w:val="10"/>
          <w:sz w:val="20"/>
          <w:szCs w:val="20"/>
        </w:rPr>
      </w:pPr>
      <w:r w:rsidRPr="00EA6933">
        <w:rPr>
          <w:rFonts w:ascii="Arial" w:eastAsia="Times New Roman" w:hAnsi="Arial" w:cs="Arial"/>
          <w:b/>
          <w:spacing w:val="10"/>
          <w:sz w:val="20"/>
          <w:szCs w:val="20"/>
        </w:rPr>
        <w:t>Tablica 2. Bilanca stanja na dan 31.12.2024.</w:t>
      </w:r>
    </w:p>
    <w:tbl>
      <w:tblPr>
        <w:tblW w:w="9790" w:type="dxa"/>
        <w:jc w:val="center"/>
        <w:tblLook w:val="04A0" w:firstRow="1" w:lastRow="0" w:firstColumn="1" w:lastColumn="0" w:noHBand="0" w:noVBand="1"/>
      </w:tblPr>
      <w:tblGrid>
        <w:gridCol w:w="5699"/>
        <w:gridCol w:w="691"/>
        <w:gridCol w:w="1685"/>
        <w:gridCol w:w="1715"/>
      </w:tblGrid>
      <w:tr w:rsidR="00EA6933" w:rsidRPr="00EA6933" w14:paraId="2779D51A" w14:textId="77777777" w:rsidTr="00EA6933">
        <w:trPr>
          <w:trHeight w:val="495"/>
          <w:jc w:val="center"/>
        </w:trPr>
        <w:tc>
          <w:tcPr>
            <w:tcW w:w="5699" w:type="dxa"/>
            <w:tcBorders>
              <w:top w:val="single" w:sz="4" w:space="0" w:color="auto"/>
              <w:left w:val="single" w:sz="4" w:space="0" w:color="auto"/>
              <w:bottom w:val="single" w:sz="8" w:space="0" w:color="C0C0C0"/>
              <w:right w:val="single" w:sz="4" w:space="0" w:color="FFFFFF"/>
            </w:tcBorders>
            <w:shd w:val="clear" w:color="000000" w:fill="969696"/>
            <w:vAlign w:val="center"/>
            <w:hideMark/>
          </w:tcPr>
          <w:p w14:paraId="11525F25"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Naziv pozicije</w:t>
            </w:r>
          </w:p>
        </w:tc>
        <w:tc>
          <w:tcPr>
            <w:tcW w:w="691" w:type="dxa"/>
            <w:tcBorders>
              <w:top w:val="single" w:sz="4" w:space="0" w:color="auto"/>
              <w:left w:val="nil"/>
              <w:bottom w:val="single" w:sz="8" w:space="0" w:color="C0C0C0"/>
              <w:right w:val="single" w:sz="4" w:space="0" w:color="FFFFFF"/>
            </w:tcBorders>
            <w:shd w:val="clear" w:color="000000" w:fill="969696"/>
            <w:vAlign w:val="center"/>
            <w:hideMark/>
          </w:tcPr>
          <w:p w14:paraId="2018C4D7"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AOP</w:t>
            </w:r>
            <w:r w:rsidRPr="00EA6933">
              <w:rPr>
                <w:rFonts w:ascii="Arial" w:eastAsia="Times New Roman" w:hAnsi="Arial" w:cs="Arial"/>
                <w:b/>
                <w:bCs/>
                <w:color w:val="FFFFFF"/>
                <w:sz w:val="16"/>
                <w:szCs w:val="16"/>
                <w:lang w:eastAsia="hr-HR"/>
              </w:rPr>
              <w:br/>
            </w:r>
            <w:r w:rsidRPr="00EA6933">
              <w:rPr>
                <w:rFonts w:ascii="Arial" w:eastAsia="Times New Roman" w:hAnsi="Arial" w:cs="Arial"/>
                <w:b/>
                <w:bCs/>
                <w:color w:val="FFFFFF"/>
                <w:sz w:val="14"/>
                <w:szCs w:val="14"/>
                <w:lang w:eastAsia="hr-HR"/>
              </w:rPr>
              <w:t>oznaka</w:t>
            </w:r>
          </w:p>
        </w:tc>
        <w:tc>
          <w:tcPr>
            <w:tcW w:w="1685" w:type="dxa"/>
            <w:tcBorders>
              <w:top w:val="single" w:sz="4" w:space="0" w:color="auto"/>
              <w:left w:val="nil"/>
              <w:bottom w:val="single" w:sz="8" w:space="0" w:color="C0C0C0"/>
              <w:right w:val="single" w:sz="4" w:space="0" w:color="FFFFFF"/>
            </w:tcBorders>
            <w:shd w:val="clear" w:color="000000" w:fill="969696"/>
            <w:vAlign w:val="center"/>
            <w:hideMark/>
          </w:tcPr>
          <w:p w14:paraId="714440FF"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Prethodna godina</w:t>
            </w:r>
            <w:r w:rsidRPr="00EA6933">
              <w:rPr>
                <w:rFonts w:ascii="Arial" w:eastAsia="Times New Roman" w:hAnsi="Arial" w:cs="Arial"/>
                <w:b/>
                <w:bCs/>
                <w:color w:val="FFFFFF"/>
                <w:sz w:val="16"/>
                <w:szCs w:val="16"/>
                <w:lang w:eastAsia="hr-HR"/>
              </w:rPr>
              <w:br/>
              <w:t>(neto)</w:t>
            </w:r>
          </w:p>
        </w:tc>
        <w:tc>
          <w:tcPr>
            <w:tcW w:w="1715" w:type="dxa"/>
            <w:tcBorders>
              <w:top w:val="single" w:sz="4" w:space="0" w:color="000000"/>
              <w:left w:val="nil"/>
              <w:bottom w:val="single" w:sz="8" w:space="0" w:color="C0C0C0"/>
              <w:right w:val="single" w:sz="4" w:space="0" w:color="auto"/>
            </w:tcBorders>
            <w:shd w:val="clear" w:color="000000" w:fill="969696"/>
            <w:vAlign w:val="center"/>
            <w:hideMark/>
          </w:tcPr>
          <w:p w14:paraId="627E6F1F"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Tekuća godina</w:t>
            </w:r>
            <w:r w:rsidRPr="00EA6933">
              <w:rPr>
                <w:rFonts w:ascii="Arial" w:eastAsia="Times New Roman" w:hAnsi="Arial" w:cs="Arial"/>
                <w:b/>
                <w:bCs/>
                <w:color w:val="FFFFFF"/>
                <w:sz w:val="16"/>
                <w:szCs w:val="16"/>
                <w:lang w:eastAsia="hr-HR"/>
              </w:rPr>
              <w:br/>
              <w:t>(neto)</w:t>
            </w:r>
          </w:p>
        </w:tc>
      </w:tr>
      <w:tr w:rsidR="00EA6933" w:rsidRPr="00EA6933" w14:paraId="257F0DC0"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C2DB2F7"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B)  DUGOTRAJNA IMOVINA </w:t>
            </w:r>
            <w:r w:rsidRPr="00EA6933">
              <w:rPr>
                <w:rFonts w:ascii="Arial" w:eastAsia="Times New Roman" w:hAnsi="Arial" w:cs="Arial"/>
                <w:color w:val="333399"/>
                <w:sz w:val="18"/>
                <w:szCs w:val="18"/>
                <w:lang w:eastAsia="hr-HR"/>
              </w:rPr>
              <w:t>(AOP 003+010+020+031+036)</w:t>
            </w:r>
          </w:p>
        </w:tc>
        <w:tc>
          <w:tcPr>
            <w:tcW w:w="691" w:type="dxa"/>
            <w:tcBorders>
              <w:top w:val="nil"/>
              <w:left w:val="nil"/>
              <w:bottom w:val="single" w:sz="4" w:space="0" w:color="C0C0C0"/>
              <w:right w:val="single" w:sz="4" w:space="0" w:color="auto"/>
            </w:tcBorders>
            <w:shd w:val="clear" w:color="auto" w:fill="auto"/>
            <w:noWrap/>
            <w:vAlign w:val="center"/>
            <w:hideMark/>
          </w:tcPr>
          <w:p w14:paraId="2037747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002</w:t>
            </w:r>
          </w:p>
        </w:tc>
        <w:tc>
          <w:tcPr>
            <w:tcW w:w="1685" w:type="dxa"/>
            <w:tcBorders>
              <w:top w:val="nil"/>
              <w:left w:val="nil"/>
              <w:bottom w:val="single" w:sz="4" w:space="0" w:color="C0C0C0"/>
              <w:right w:val="single" w:sz="4" w:space="0" w:color="auto"/>
            </w:tcBorders>
            <w:shd w:val="clear" w:color="auto" w:fill="auto"/>
            <w:noWrap/>
            <w:vAlign w:val="center"/>
            <w:hideMark/>
          </w:tcPr>
          <w:p w14:paraId="0A7BBEB1"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10.266.347,38</w:t>
            </w:r>
          </w:p>
        </w:tc>
        <w:tc>
          <w:tcPr>
            <w:tcW w:w="1715" w:type="dxa"/>
            <w:tcBorders>
              <w:top w:val="nil"/>
              <w:left w:val="nil"/>
              <w:bottom w:val="single" w:sz="4" w:space="0" w:color="C0C0C0"/>
              <w:right w:val="single" w:sz="4" w:space="0" w:color="auto"/>
            </w:tcBorders>
            <w:shd w:val="clear" w:color="auto" w:fill="auto"/>
            <w:noWrap/>
            <w:vAlign w:val="center"/>
            <w:hideMark/>
          </w:tcPr>
          <w:p w14:paraId="484F4E63"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11.534.391,39</w:t>
            </w:r>
          </w:p>
        </w:tc>
      </w:tr>
      <w:tr w:rsidR="00EA6933" w:rsidRPr="00EA6933" w14:paraId="169350CD"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63F33CD"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 NEMATERIJALNA IMOVINA (AOP 004 do 009)</w:t>
            </w:r>
          </w:p>
        </w:tc>
        <w:tc>
          <w:tcPr>
            <w:tcW w:w="691" w:type="dxa"/>
            <w:tcBorders>
              <w:top w:val="nil"/>
              <w:left w:val="nil"/>
              <w:bottom w:val="single" w:sz="4" w:space="0" w:color="C0C0C0"/>
              <w:right w:val="single" w:sz="4" w:space="0" w:color="auto"/>
            </w:tcBorders>
            <w:shd w:val="clear" w:color="auto" w:fill="auto"/>
            <w:noWrap/>
            <w:vAlign w:val="center"/>
            <w:hideMark/>
          </w:tcPr>
          <w:p w14:paraId="11B30A08"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003</w:t>
            </w:r>
          </w:p>
        </w:tc>
        <w:tc>
          <w:tcPr>
            <w:tcW w:w="1685" w:type="dxa"/>
            <w:tcBorders>
              <w:top w:val="nil"/>
              <w:left w:val="nil"/>
              <w:bottom w:val="single" w:sz="4" w:space="0" w:color="C0C0C0"/>
              <w:right w:val="single" w:sz="4" w:space="0" w:color="auto"/>
            </w:tcBorders>
            <w:shd w:val="clear" w:color="auto" w:fill="auto"/>
            <w:noWrap/>
            <w:vAlign w:val="center"/>
            <w:hideMark/>
          </w:tcPr>
          <w:p w14:paraId="1C947E1F"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16.373,44</w:t>
            </w:r>
          </w:p>
        </w:tc>
        <w:tc>
          <w:tcPr>
            <w:tcW w:w="1715" w:type="dxa"/>
            <w:tcBorders>
              <w:top w:val="nil"/>
              <w:left w:val="nil"/>
              <w:bottom w:val="single" w:sz="4" w:space="0" w:color="C0C0C0"/>
              <w:right w:val="single" w:sz="4" w:space="0" w:color="auto"/>
            </w:tcBorders>
            <w:shd w:val="clear" w:color="auto" w:fill="auto"/>
            <w:noWrap/>
            <w:vAlign w:val="center"/>
            <w:hideMark/>
          </w:tcPr>
          <w:p w14:paraId="07B71AFF"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39.602,48</w:t>
            </w:r>
          </w:p>
        </w:tc>
      </w:tr>
      <w:tr w:rsidR="00EA6933" w:rsidRPr="00EA6933" w14:paraId="3AB883B2" w14:textId="77777777" w:rsidTr="00A853FC">
        <w:trPr>
          <w:trHeight w:val="498"/>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8E23FC0"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Koncesije, patenti, licencije, robne i uslužne marke, softver</w:t>
            </w:r>
            <w:r w:rsidRPr="00EA6933">
              <w:rPr>
                <w:rFonts w:ascii="Arial" w:eastAsia="Times New Roman" w:hAnsi="Arial" w:cs="Arial"/>
                <w:sz w:val="18"/>
                <w:szCs w:val="18"/>
                <w:lang w:eastAsia="hr-HR"/>
              </w:rPr>
              <w:br/>
              <w:t xml:space="preserve">        i ostala prava</w:t>
            </w:r>
          </w:p>
        </w:tc>
        <w:tc>
          <w:tcPr>
            <w:tcW w:w="691" w:type="dxa"/>
            <w:tcBorders>
              <w:top w:val="nil"/>
              <w:left w:val="nil"/>
              <w:bottom w:val="single" w:sz="4" w:space="0" w:color="C0C0C0"/>
              <w:right w:val="single" w:sz="4" w:space="0" w:color="auto"/>
            </w:tcBorders>
            <w:shd w:val="clear" w:color="auto" w:fill="auto"/>
            <w:noWrap/>
            <w:vAlign w:val="center"/>
            <w:hideMark/>
          </w:tcPr>
          <w:p w14:paraId="1AB4AF6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005</w:t>
            </w:r>
          </w:p>
        </w:tc>
        <w:tc>
          <w:tcPr>
            <w:tcW w:w="1685" w:type="dxa"/>
            <w:tcBorders>
              <w:top w:val="nil"/>
              <w:left w:val="nil"/>
              <w:bottom w:val="single" w:sz="4" w:space="0" w:color="C0C0C0"/>
              <w:right w:val="single" w:sz="4" w:space="0" w:color="auto"/>
            </w:tcBorders>
            <w:shd w:val="clear" w:color="auto" w:fill="auto"/>
            <w:noWrap/>
            <w:vAlign w:val="center"/>
            <w:hideMark/>
          </w:tcPr>
          <w:p w14:paraId="20B99F45"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16.373,44</w:t>
            </w:r>
          </w:p>
        </w:tc>
        <w:tc>
          <w:tcPr>
            <w:tcW w:w="1715" w:type="dxa"/>
            <w:tcBorders>
              <w:top w:val="nil"/>
              <w:left w:val="nil"/>
              <w:bottom w:val="single" w:sz="4" w:space="0" w:color="C0C0C0"/>
              <w:right w:val="single" w:sz="4" w:space="0" w:color="auto"/>
            </w:tcBorders>
            <w:shd w:val="clear" w:color="auto" w:fill="auto"/>
            <w:noWrap/>
            <w:vAlign w:val="center"/>
            <w:hideMark/>
          </w:tcPr>
          <w:p w14:paraId="0C1FCAE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39.602,48</w:t>
            </w:r>
          </w:p>
        </w:tc>
      </w:tr>
      <w:tr w:rsidR="00EA6933" w:rsidRPr="00EA6933" w14:paraId="5DFAA43B"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942EA8E"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II. MATERIJALNA IMOVINA (AOP 011 do 019)</w:t>
            </w:r>
          </w:p>
        </w:tc>
        <w:tc>
          <w:tcPr>
            <w:tcW w:w="691" w:type="dxa"/>
            <w:tcBorders>
              <w:top w:val="nil"/>
              <w:left w:val="nil"/>
              <w:bottom w:val="single" w:sz="4" w:space="0" w:color="C0C0C0"/>
              <w:right w:val="single" w:sz="4" w:space="0" w:color="auto"/>
            </w:tcBorders>
            <w:shd w:val="clear" w:color="auto" w:fill="auto"/>
            <w:noWrap/>
            <w:vAlign w:val="center"/>
            <w:hideMark/>
          </w:tcPr>
          <w:p w14:paraId="472D46B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010</w:t>
            </w:r>
          </w:p>
        </w:tc>
        <w:tc>
          <w:tcPr>
            <w:tcW w:w="1685" w:type="dxa"/>
            <w:tcBorders>
              <w:top w:val="nil"/>
              <w:left w:val="nil"/>
              <w:bottom w:val="single" w:sz="4" w:space="0" w:color="C0C0C0"/>
              <w:right w:val="single" w:sz="4" w:space="0" w:color="auto"/>
            </w:tcBorders>
            <w:shd w:val="clear" w:color="auto" w:fill="auto"/>
            <w:noWrap/>
            <w:vAlign w:val="center"/>
            <w:hideMark/>
          </w:tcPr>
          <w:p w14:paraId="2EFEC15C"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10.131.058,47</w:t>
            </w:r>
          </w:p>
        </w:tc>
        <w:tc>
          <w:tcPr>
            <w:tcW w:w="1715" w:type="dxa"/>
            <w:tcBorders>
              <w:top w:val="nil"/>
              <w:left w:val="nil"/>
              <w:bottom w:val="single" w:sz="4" w:space="0" w:color="C0C0C0"/>
              <w:right w:val="single" w:sz="4" w:space="0" w:color="auto"/>
            </w:tcBorders>
            <w:shd w:val="clear" w:color="auto" w:fill="auto"/>
            <w:noWrap/>
            <w:vAlign w:val="center"/>
            <w:hideMark/>
          </w:tcPr>
          <w:p w14:paraId="7E4CA8F4"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11.394.551,55</w:t>
            </w:r>
          </w:p>
        </w:tc>
      </w:tr>
      <w:tr w:rsidR="00EA6933" w:rsidRPr="00EA6933" w14:paraId="014F7A0F"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37B548E"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 Zemljište</w:t>
            </w:r>
          </w:p>
        </w:tc>
        <w:tc>
          <w:tcPr>
            <w:tcW w:w="691" w:type="dxa"/>
            <w:tcBorders>
              <w:top w:val="nil"/>
              <w:left w:val="nil"/>
              <w:bottom w:val="single" w:sz="4" w:space="0" w:color="C0C0C0"/>
              <w:right w:val="single" w:sz="4" w:space="0" w:color="auto"/>
            </w:tcBorders>
            <w:shd w:val="clear" w:color="auto" w:fill="auto"/>
            <w:noWrap/>
            <w:vAlign w:val="center"/>
            <w:hideMark/>
          </w:tcPr>
          <w:p w14:paraId="5D67C5B8"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011</w:t>
            </w:r>
          </w:p>
        </w:tc>
        <w:tc>
          <w:tcPr>
            <w:tcW w:w="1685" w:type="dxa"/>
            <w:tcBorders>
              <w:top w:val="nil"/>
              <w:left w:val="nil"/>
              <w:bottom w:val="single" w:sz="4" w:space="0" w:color="C0C0C0"/>
              <w:right w:val="single" w:sz="4" w:space="0" w:color="auto"/>
            </w:tcBorders>
            <w:shd w:val="clear" w:color="auto" w:fill="auto"/>
            <w:noWrap/>
            <w:vAlign w:val="center"/>
            <w:hideMark/>
          </w:tcPr>
          <w:p w14:paraId="711900AD"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1.030.441,44</w:t>
            </w:r>
          </w:p>
        </w:tc>
        <w:tc>
          <w:tcPr>
            <w:tcW w:w="1715" w:type="dxa"/>
            <w:tcBorders>
              <w:top w:val="nil"/>
              <w:left w:val="nil"/>
              <w:bottom w:val="single" w:sz="4" w:space="0" w:color="C0C0C0"/>
              <w:right w:val="single" w:sz="4" w:space="0" w:color="auto"/>
            </w:tcBorders>
            <w:shd w:val="clear" w:color="auto" w:fill="auto"/>
            <w:noWrap/>
            <w:vAlign w:val="center"/>
            <w:hideMark/>
          </w:tcPr>
          <w:p w14:paraId="673BEF12"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1.030.441,44</w:t>
            </w:r>
          </w:p>
        </w:tc>
      </w:tr>
      <w:tr w:rsidR="00EA6933" w:rsidRPr="00EA6933" w14:paraId="691AD1C5"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10A2FDE"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Građevinski objekti</w:t>
            </w:r>
          </w:p>
        </w:tc>
        <w:tc>
          <w:tcPr>
            <w:tcW w:w="691" w:type="dxa"/>
            <w:tcBorders>
              <w:top w:val="nil"/>
              <w:left w:val="nil"/>
              <w:bottom w:val="single" w:sz="4" w:space="0" w:color="C0C0C0"/>
              <w:right w:val="single" w:sz="4" w:space="0" w:color="auto"/>
            </w:tcBorders>
            <w:shd w:val="clear" w:color="auto" w:fill="auto"/>
            <w:noWrap/>
            <w:vAlign w:val="center"/>
            <w:hideMark/>
          </w:tcPr>
          <w:p w14:paraId="5EDB4E1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012</w:t>
            </w:r>
          </w:p>
        </w:tc>
        <w:tc>
          <w:tcPr>
            <w:tcW w:w="1685" w:type="dxa"/>
            <w:tcBorders>
              <w:top w:val="nil"/>
              <w:left w:val="nil"/>
              <w:bottom w:val="single" w:sz="4" w:space="0" w:color="C0C0C0"/>
              <w:right w:val="single" w:sz="4" w:space="0" w:color="auto"/>
            </w:tcBorders>
            <w:shd w:val="clear" w:color="auto" w:fill="auto"/>
            <w:noWrap/>
            <w:vAlign w:val="center"/>
            <w:hideMark/>
          </w:tcPr>
          <w:p w14:paraId="1E507425"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7.248.509,92</w:t>
            </w:r>
          </w:p>
        </w:tc>
        <w:tc>
          <w:tcPr>
            <w:tcW w:w="1715" w:type="dxa"/>
            <w:tcBorders>
              <w:top w:val="nil"/>
              <w:left w:val="nil"/>
              <w:bottom w:val="single" w:sz="4" w:space="0" w:color="C0C0C0"/>
              <w:right w:val="single" w:sz="4" w:space="0" w:color="auto"/>
            </w:tcBorders>
            <w:shd w:val="clear" w:color="auto" w:fill="auto"/>
            <w:noWrap/>
            <w:vAlign w:val="center"/>
            <w:hideMark/>
          </w:tcPr>
          <w:p w14:paraId="0F847F7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7.080.075,83</w:t>
            </w:r>
          </w:p>
        </w:tc>
      </w:tr>
      <w:tr w:rsidR="00EA6933" w:rsidRPr="00EA6933" w14:paraId="16189C0C"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4EE4EBA"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3. Postrojenja i oprema </w:t>
            </w:r>
          </w:p>
        </w:tc>
        <w:tc>
          <w:tcPr>
            <w:tcW w:w="691" w:type="dxa"/>
            <w:tcBorders>
              <w:top w:val="nil"/>
              <w:left w:val="nil"/>
              <w:bottom w:val="single" w:sz="4" w:space="0" w:color="C0C0C0"/>
              <w:right w:val="single" w:sz="4" w:space="0" w:color="auto"/>
            </w:tcBorders>
            <w:shd w:val="clear" w:color="auto" w:fill="auto"/>
            <w:noWrap/>
            <w:vAlign w:val="center"/>
            <w:hideMark/>
          </w:tcPr>
          <w:p w14:paraId="054F1F73"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013</w:t>
            </w:r>
          </w:p>
        </w:tc>
        <w:tc>
          <w:tcPr>
            <w:tcW w:w="1685" w:type="dxa"/>
            <w:tcBorders>
              <w:top w:val="nil"/>
              <w:left w:val="nil"/>
              <w:bottom w:val="single" w:sz="4" w:space="0" w:color="C0C0C0"/>
              <w:right w:val="single" w:sz="4" w:space="0" w:color="auto"/>
            </w:tcBorders>
            <w:shd w:val="clear" w:color="auto" w:fill="auto"/>
            <w:noWrap/>
            <w:vAlign w:val="center"/>
            <w:hideMark/>
          </w:tcPr>
          <w:p w14:paraId="47762524"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711.868,59</w:t>
            </w:r>
          </w:p>
        </w:tc>
        <w:tc>
          <w:tcPr>
            <w:tcW w:w="1715" w:type="dxa"/>
            <w:tcBorders>
              <w:top w:val="nil"/>
              <w:left w:val="nil"/>
              <w:bottom w:val="single" w:sz="4" w:space="0" w:color="C0C0C0"/>
              <w:right w:val="single" w:sz="4" w:space="0" w:color="auto"/>
            </w:tcBorders>
            <w:shd w:val="clear" w:color="auto" w:fill="auto"/>
            <w:noWrap/>
            <w:vAlign w:val="center"/>
            <w:hideMark/>
          </w:tcPr>
          <w:p w14:paraId="1A7BAFEB"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692.834,93</w:t>
            </w:r>
          </w:p>
        </w:tc>
      </w:tr>
      <w:tr w:rsidR="00EA6933" w:rsidRPr="00EA6933" w14:paraId="69F00623"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9272B63"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4. Alati, pogonski inventar i transportna imovina</w:t>
            </w:r>
          </w:p>
        </w:tc>
        <w:tc>
          <w:tcPr>
            <w:tcW w:w="691" w:type="dxa"/>
            <w:tcBorders>
              <w:top w:val="nil"/>
              <w:left w:val="nil"/>
              <w:bottom w:val="single" w:sz="4" w:space="0" w:color="C0C0C0"/>
              <w:right w:val="single" w:sz="4" w:space="0" w:color="auto"/>
            </w:tcBorders>
            <w:shd w:val="clear" w:color="auto" w:fill="auto"/>
            <w:noWrap/>
            <w:vAlign w:val="center"/>
            <w:hideMark/>
          </w:tcPr>
          <w:p w14:paraId="7EB84330"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014</w:t>
            </w:r>
          </w:p>
        </w:tc>
        <w:tc>
          <w:tcPr>
            <w:tcW w:w="1685" w:type="dxa"/>
            <w:tcBorders>
              <w:top w:val="nil"/>
              <w:left w:val="nil"/>
              <w:bottom w:val="single" w:sz="4" w:space="0" w:color="C0C0C0"/>
              <w:right w:val="single" w:sz="4" w:space="0" w:color="auto"/>
            </w:tcBorders>
            <w:shd w:val="clear" w:color="auto" w:fill="auto"/>
            <w:noWrap/>
            <w:vAlign w:val="center"/>
            <w:hideMark/>
          </w:tcPr>
          <w:p w14:paraId="7DF67A8D"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1.127.538,77</w:t>
            </w:r>
          </w:p>
        </w:tc>
        <w:tc>
          <w:tcPr>
            <w:tcW w:w="1715" w:type="dxa"/>
            <w:tcBorders>
              <w:top w:val="nil"/>
              <w:left w:val="nil"/>
              <w:bottom w:val="single" w:sz="4" w:space="0" w:color="C0C0C0"/>
              <w:right w:val="single" w:sz="4" w:space="0" w:color="auto"/>
            </w:tcBorders>
            <w:shd w:val="clear" w:color="auto" w:fill="auto"/>
            <w:noWrap/>
            <w:vAlign w:val="center"/>
            <w:hideMark/>
          </w:tcPr>
          <w:p w14:paraId="73C865A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2.408.957,03</w:t>
            </w:r>
          </w:p>
        </w:tc>
      </w:tr>
      <w:tr w:rsidR="00EA6933" w:rsidRPr="00EA6933" w14:paraId="0AA3E4A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61EBFA9"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7. Materijalna imovina u pripremi</w:t>
            </w:r>
          </w:p>
        </w:tc>
        <w:tc>
          <w:tcPr>
            <w:tcW w:w="691" w:type="dxa"/>
            <w:tcBorders>
              <w:top w:val="nil"/>
              <w:left w:val="nil"/>
              <w:bottom w:val="single" w:sz="4" w:space="0" w:color="C0C0C0"/>
              <w:right w:val="single" w:sz="4" w:space="0" w:color="auto"/>
            </w:tcBorders>
            <w:shd w:val="clear" w:color="auto" w:fill="auto"/>
            <w:noWrap/>
            <w:vAlign w:val="center"/>
            <w:hideMark/>
          </w:tcPr>
          <w:p w14:paraId="34AB816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017</w:t>
            </w:r>
          </w:p>
        </w:tc>
        <w:tc>
          <w:tcPr>
            <w:tcW w:w="1685" w:type="dxa"/>
            <w:tcBorders>
              <w:top w:val="nil"/>
              <w:left w:val="nil"/>
              <w:bottom w:val="single" w:sz="4" w:space="0" w:color="C0C0C0"/>
              <w:right w:val="single" w:sz="4" w:space="0" w:color="auto"/>
            </w:tcBorders>
            <w:shd w:val="clear" w:color="auto" w:fill="auto"/>
            <w:noWrap/>
            <w:vAlign w:val="center"/>
            <w:hideMark/>
          </w:tcPr>
          <w:p w14:paraId="328FF914"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9.915,76</w:t>
            </w:r>
          </w:p>
        </w:tc>
        <w:tc>
          <w:tcPr>
            <w:tcW w:w="1715" w:type="dxa"/>
            <w:tcBorders>
              <w:top w:val="nil"/>
              <w:left w:val="nil"/>
              <w:bottom w:val="single" w:sz="4" w:space="0" w:color="C0C0C0"/>
              <w:right w:val="single" w:sz="4" w:space="0" w:color="auto"/>
            </w:tcBorders>
            <w:shd w:val="clear" w:color="auto" w:fill="auto"/>
            <w:noWrap/>
            <w:vAlign w:val="center"/>
            <w:hideMark/>
          </w:tcPr>
          <w:p w14:paraId="585331A1"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179.458,32</w:t>
            </w:r>
          </w:p>
        </w:tc>
      </w:tr>
      <w:tr w:rsidR="00EA6933" w:rsidRPr="00EA6933" w14:paraId="60A55E30"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C86A09F"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8. Ostala materijalna imovina</w:t>
            </w:r>
          </w:p>
        </w:tc>
        <w:tc>
          <w:tcPr>
            <w:tcW w:w="691" w:type="dxa"/>
            <w:tcBorders>
              <w:top w:val="nil"/>
              <w:left w:val="nil"/>
              <w:bottom w:val="single" w:sz="4" w:space="0" w:color="C0C0C0"/>
              <w:right w:val="single" w:sz="4" w:space="0" w:color="auto"/>
            </w:tcBorders>
            <w:shd w:val="clear" w:color="auto" w:fill="auto"/>
            <w:noWrap/>
            <w:vAlign w:val="center"/>
            <w:hideMark/>
          </w:tcPr>
          <w:p w14:paraId="63CCCD13"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018</w:t>
            </w:r>
          </w:p>
        </w:tc>
        <w:tc>
          <w:tcPr>
            <w:tcW w:w="1685" w:type="dxa"/>
            <w:tcBorders>
              <w:top w:val="nil"/>
              <w:left w:val="nil"/>
              <w:bottom w:val="single" w:sz="4" w:space="0" w:color="C0C0C0"/>
              <w:right w:val="single" w:sz="4" w:space="0" w:color="auto"/>
            </w:tcBorders>
            <w:shd w:val="clear" w:color="auto" w:fill="auto"/>
            <w:noWrap/>
            <w:vAlign w:val="center"/>
            <w:hideMark/>
          </w:tcPr>
          <w:p w14:paraId="42E43F86"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2.783,99</w:t>
            </w:r>
          </w:p>
        </w:tc>
        <w:tc>
          <w:tcPr>
            <w:tcW w:w="1715" w:type="dxa"/>
            <w:tcBorders>
              <w:top w:val="nil"/>
              <w:left w:val="nil"/>
              <w:bottom w:val="single" w:sz="4" w:space="0" w:color="C0C0C0"/>
              <w:right w:val="single" w:sz="4" w:space="0" w:color="auto"/>
            </w:tcBorders>
            <w:shd w:val="clear" w:color="auto" w:fill="auto"/>
            <w:noWrap/>
            <w:vAlign w:val="center"/>
            <w:hideMark/>
          </w:tcPr>
          <w:p w14:paraId="4965C78E"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2.784,00</w:t>
            </w:r>
          </w:p>
        </w:tc>
      </w:tr>
      <w:tr w:rsidR="00EA6933" w:rsidRPr="00EA6933" w14:paraId="026A6E4A"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B50716A"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III. DUGOTRAJNA FINANCIJSKA IMOVINA (AOP 021 do 030)</w:t>
            </w:r>
          </w:p>
        </w:tc>
        <w:tc>
          <w:tcPr>
            <w:tcW w:w="691" w:type="dxa"/>
            <w:tcBorders>
              <w:top w:val="nil"/>
              <w:left w:val="nil"/>
              <w:bottom w:val="single" w:sz="4" w:space="0" w:color="C0C0C0"/>
              <w:right w:val="single" w:sz="4" w:space="0" w:color="auto"/>
            </w:tcBorders>
            <w:shd w:val="clear" w:color="auto" w:fill="auto"/>
            <w:noWrap/>
            <w:vAlign w:val="center"/>
            <w:hideMark/>
          </w:tcPr>
          <w:p w14:paraId="381BC7D9"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020</w:t>
            </w:r>
          </w:p>
        </w:tc>
        <w:tc>
          <w:tcPr>
            <w:tcW w:w="1685" w:type="dxa"/>
            <w:tcBorders>
              <w:top w:val="nil"/>
              <w:left w:val="nil"/>
              <w:bottom w:val="single" w:sz="4" w:space="0" w:color="C0C0C0"/>
              <w:right w:val="single" w:sz="4" w:space="0" w:color="auto"/>
            </w:tcBorders>
            <w:shd w:val="clear" w:color="auto" w:fill="auto"/>
            <w:noWrap/>
            <w:vAlign w:val="center"/>
            <w:hideMark/>
          </w:tcPr>
          <w:p w14:paraId="1CCEAF98"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114.385,70</w:t>
            </w:r>
          </w:p>
        </w:tc>
        <w:tc>
          <w:tcPr>
            <w:tcW w:w="1715" w:type="dxa"/>
            <w:tcBorders>
              <w:top w:val="nil"/>
              <w:left w:val="nil"/>
              <w:bottom w:val="single" w:sz="4" w:space="0" w:color="C0C0C0"/>
              <w:right w:val="single" w:sz="4" w:space="0" w:color="auto"/>
            </w:tcBorders>
            <w:shd w:val="clear" w:color="auto" w:fill="auto"/>
            <w:noWrap/>
            <w:vAlign w:val="center"/>
            <w:hideMark/>
          </w:tcPr>
          <w:p w14:paraId="403312F1"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98.401,99</w:t>
            </w:r>
          </w:p>
        </w:tc>
      </w:tr>
      <w:tr w:rsidR="00EA6933" w:rsidRPr="00EA6933" w14:paraId="5164058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8CE8933"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8. Dani zajmovi, depoziti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76721D60"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028</w:t>
            </w:r>
          </w:p>
        </w:tc>
        <w:tc>
          <w:tcPr>
            <w:tcW w:w="1685" w:type="dxa"/>
            <w:tcBorders>
              <w:top w:val="nil"/>
              <w:left w:val="nil"/>
              <w:bottom w:val="single" w:sz="4" w:space="0" w:color="C0C0C0"/>
              <w:right w:val="single" w:sz="4" w:space="0" w:color="auto"/>
            </w:tcBorders>
            <w:shd w:val="clear" w:color="auto" w:fill="auto"/>
            <w:noWrap/>
            <w:vAlign w:val="center"/>
            <w:hideMark/>
          </w:tcPr>
          <w:p w14:paraId="12DDE064"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114.385,70</w:t>
            </w:r>
          </w:p>
        </w:tc>
        <w:tc>
          <w:tcPr>
            <w:tcW w:w="1715" w:type="dxa"/>
            <w:tcBorders>
              <w:top w:val="nil"/>
              <w:left w:val="nil"/>
              <w:bottom w:val="single" w:sz="4" w:space="0" w:color="C0C0C0"/>
              <w:right w:val="single" w:sz="4" w:space="0" w:color="auto"/>
            </w:tcBorders>
            <w:shd w:val="clear" w:color="auto" w:fill="auto"/>
            <w:noWrap/>
            <w:vAlign w:val="center"/>
            <w:hideMark/>
          </w:tcPr>
          <w:p w14:paraId="64F6212F"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98.401,99</w:t>
            </w:r>
          </w:p>
        </w:tc>
      </w:tr>
      <w:tr w:rsidR="00EA6933" w:rsidRPr="00EA6933" w14:paraId="67C0C5D0"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1B2E9D2"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IV. POTRAŽIVANJA (AOP 032 do 035)</w:t>
            </w:r>
          </w:p>
        </w:tc>
        <w:tc>
          <w:tcPr>
            <w:tcW w:w="691" w:type="dxa"/>
            <w:tcBorders>
              <w:top w:val="nil"/>
              <w:left w:val="nil"/>
              <w:bottom w:val="single" w:sz="4" w:space="0" w:color="C0C0C0"/>
              <w:right w:val="single" w:sz="4" w:space="0" w:color="auto"/>
            </w:tcBorders>
            <w:shd w:val="clear" w:color="auto" w:fill="auto"/>
            <w:noWrap/>
            <w:vAlign w:val="center"/>
            <w:hideMark/>
          </w:tcPr>
          <w:p w14:paraId="17C0E7CF"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031</w:t>
            </w:r>
          </w:p>
        </w:tc>
        <w:tc>
          <w:tcPr>
            <w:tcW w:w="1685" w:type="dxa"/>
            <w:tcBorders>
              <w:top w:val="nil"/>
              <w:left w:val="nil"/>
              <w:bottom w:val="single" w:sz="4" w:space="0" w:color="C0C0C0"/>
              <w:right w:val="single" w:sz="4" w:space="0" w:color="auto"/>
            </w:tcBorders>
            <w:shd w:val="clear" w:color="auto" w:fill="auto"/>
            <w:noWrap/>
            <w:vAlign w:val="center"/>
            <w:hideMark/>
          </w:tcPr>
          <w:p w14:paraId="5E89A91B"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4.529,77</w:t>
            </w:r>
          </w:p>
        </w:tc>
        <w:tc>
          <w:tcPr>
            <w:tcW w:w="1715" w:type="dxa"/>
            <w:tcBorders>
              <w:top w:val="nil"/>
              <w:left w:val="nil"/>
              <w:bottom w:val="single" w:sz="4" w:space="0" w:color="C0C0C0"/>
              <w:right w:val="single" w:sz="4" w:space="0" w:color="auto"/>
            </w:tcBorders>
            <w:shd w:val="clear" w:color="auto" w:fill="auto"/>
            <w:noWrap/>
            <w:vAlign w:val="center"/>
            <w:hideMark/>
          </w:tcPr>
          <w:p w14:paraId="62295C24"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1.835,37</w:t>
            </w:r>
          </w:p>
        </w:tc>
      </w:tr>
      <w:tr w:rsidR="00EA6933" w:rsidRPr="00EA6933" w14:paraId="449EB220"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505DB0D"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4. Ostala potraživanja</w:t>
            </w:r>
          </w:p>
        </w:tc>
        <w:tc>
          <w:tcPr>
            <w:tcW w:w="691" w:type="dxa"/>
            <w:tcBorders>
              <w:top w:val="nil"/>
              <w:left w:val="nil"/>
              <w:bottom w:val="single" w:sz="4" w:space="0" w:color="C0C0C0"/>
              <w:right w:val="single" w:sz="4" w:space="0" w:color="auto"/>
            </w:tcBorders>
            <w:shd w:val="clear" w:color="auto" w:fill="auto"/>
            <w:noWrap/>
            <w:vAlign w:val="center"/>
            <w:hideMark/>
          </w:tcPr>
          <w:p w14:paraId="7CB18020"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035</w:t>
            </w:r>
          </w:p>
        </w:tc>
        <w:tc>
          <w:tcPr>
            <w:tcW w:w="1685" w:type="dxa"/>
            <w:tcBorders>
              <w:top w:val="nil"/>
              <w:left w:val="nil"/>
              <w:bottom w:val="single" w:sz="4" w:space="0" w:color="C0C0C0"/>
              <w:right w:val="single" w:sz="4" w:space="0" w:color="auto"/>
            </w:tcBorders>
            <w:shd w:val="clear" w:color="auto" w:fill="auto"/>
            <w:noWrap/>
            <w:vAlign w:val="center"/>
            <w:hideMark/>
          </w:tcPr>
          <w:p w14:paraId="408D35F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4.529,77</w:t>
            </w:r>
          </w:p>
        </w:tc>
        <w:tc>
          <w:tcPr>
            <w:tcW w:w="1715" w:type="dxa"/>
            <w:tcBorders>
              <w:top w:val="nil"/>
              <w:left w:val="nil"/>
              <w:bottom w:val="single" w:sz="4" w:space="0" w:color="C0C0C0"/>
              <w:right w:val="single" w:sz="4" w:space="0" w:color="auto"/>
            </w:tcBorders>
            <w:shd w:val="clear" w:color="auto" w:fill="auto"/>
            <w:noWrap/>
            <w:vAlign w:val="center"/>
            <w:hideMark/>
          </w:tcPr>
          <w:p w14:paraId="045B7B8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1.835,37</w:t>
            </w:r>
          </w:p>
        </w:tc>
      </w:tr>
      <w:tr w:rsidR="00EA6933" w:rsidRPr="00EA6933" w14:paraId="4340016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8AFE4B6"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C)  KRATKOTRAJNA IMOVINA </w:t>
            </w:r>
            <w:r w:rsidRPr="00EA6933">
              <w:rPr>
                <w:rFonts w:ascii="Arial" w:eastAsia="Times New Roman" w:hAnsi="Arial" w:cs="Arial"/>
                <w:color w:val="333399"/>
                <w:sz w:val="18"/>
                <w:szCs w:val="18"/>
                <w:lang w:eastAsia="hr-HR"/>
              </w:rPr>
              <w:t>(AOP 038+046+053+063)</w:t>
            </w:r>
          </w:p>
        </w:tc>
        <w:tc>
          <w:tcPr>
            <w:tcW w:w="691" w:type="dxa"/>
            <w:tcBorders>
              <w:top w:val="nil"/>
              <w:left w:val="nil"/>
              <w:bottom w:val="single" w:sz="4" w:space="0" w:color="C0C0C0"/>
              <w:right w:val="single" w:sz="4" w:space="0" w:color="auto"/>
            </w:tcBorders>
            <w:shd w:val="clear" w:color="auto" w:fill="auto"/>
            <w:noWrap/>
            <w:vAlign w:val="center"/>
            <w:hideMark/>
          </w:tcPr>
          <w:p w14:paraId="1EE5F1B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037</w:t>
            </w:r>
          </w:p>
        </w:tc>
        <w:tc>
          <w:tcPr>
            <w:tcW w:w="1685" w:type="dxa"/>
            <w:tcBorders>
              <w:top w:val="nil"/>
              <w:left w:val="nil"/>
              <w:bottom w:val="single" w:sz="4" w:space="0" w:color="C0C0C0"/>
              <w:right w:val="single" w:sz="4" w:space="0" w:color="auto"/>
            </w:tcBorders>
            <w:shd w:val="clear" w:color="auto" w:fill="auto"/>
            <w:noWrap/>
            <w:vAlign w:val="center"/>
            <w:hideMark/>
          </w:tcPr>
          <w:p w14:paraId="7676938D"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1.828.234,31</w:t>
            </w:r>
          </w:p>
        </w:tc>
        <w:tc>
          <w:tcPr>
            <w:tcW w:w="1715" w:type="dxa"/>
            <w:tcBorders>
              <w:top w:val="nil"/>
              <w:left w:val="nil"/>
              <w:bottom w:val="single" w:sz="4" w:space="0" w:color="C0C0C0"/>
              <w:right w:val="single" w:sz="4" w:space="0" w:color="auto"/>
            </w:tcBorders>
            <w:shd w:val="clear" w:color="auto" w:fill="auto"/>
            <w:noWrap/>
            <w:vAlign w:val="center"/>
            <w:hideMark/>
          </w:tcPr>
          <w:p w14:paraId="3E079085"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3.082.109,31</w:t>
            </w:r>
          </w:p>
        </w:tc>
      </w:tr>
      <w:tr w:rsidR="00EA6933" w:rsidRPr="00EA6933" w14:paraId="4B303E7A"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981AF86"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 ZALIHE (AOP 039 do 045)</w:t>
            </w:r>
          </w:p>
        </w:tc>
        <w:tc>
          <w:tcPr>
            <w:tcW w:w="691" w:type="dxa"/>
            <w:tcBorders>
              <w:top w:val="nil"/>
              <w:left w:val="nil"/>
              <w:bottom w:val="single" w:sz="4" w:space="0" w:color="C0C0C0"/>
              <w:right w:val="single" w:sz="4" w:space="0" w:color="auto"/>
            </w:tcBorders>
            <w:shd w:val="clear" w:color="auto" w:fill="auto"/>
            <w:noWrap/>
            <w:vAlign w:val="center"/>
            <w:hideMark/>
          </w:tcPr>
          <w:p w14:paraId="4F374D85"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038</w:t>
            </w:r>
          </w:p>
        </w:tc>
        <w:tc>
          <w:tcPr>
            <w:tcW w:w="1685" w:type="dxa"/>
            <w:tcBorders>
              <w:top w:val="nil"/>
              <w:left w:val="nil"/>
              <w:bottom w:val="single" w:sz="4" w:space="0" w:color="C0C0C0"/>
              <w:right w:val="single" w:sz="4" w:space="0" w:color="auto"/>
            </w:tcBorders>
            <w:shd w:val="clear" w:color="auto" w:fill="auto"/>
            <w:noWrap/>
            <w:vAlign w:val="center"/>
            <w:hideMark/>
          </w:tcPr>
          <w:p w14:paraId="17A5B6BE"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221.410,79</w:t>
            </w:r>
          </w:p>
        </w:tc>
        <w:tc>
          <w:tcPr>
            <w:tcW w:w="1715" w:type="dxa"/>
            <w:tcBorders>
              <w:top w:val="nil"/>
              <w:left w:val="nil"/>
              <w:bottom w:val="single" w:sz="4" w:space="0" w:color="C0C0C0"/>
              <w:right w:val="single" w:sz="4" w:space="0" w:color="auto"/>
            </w:tcBorders>
            <w:shd w:val="clear" w:color="auto" w:fill="auto"/>
            <w:noWrap/>
            <w:vAlign w:val="center"/>
            <w:hideMark/>
          </w:tcPr>
          <w:p w14:paraId="4B605F2E"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229.066,51</w:t>
            </w:r>
          </w:p>
        </w:tc>
      </w:tr>
      <w:tr w:rsidR="00EA6933" w:rsidRPr="00EA6933" w14:paraId="2BA4593F"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4D9B533"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 Sirovine i materijal</w:t>
            </w:r>
          </w:p>
        </w:tc>
        <w:tc>
          <w:tcPr>
            <w:tcW w:w="691" w:type="dxa"/>
            <w:tcBorders>
              <w:top w:val="nil"/>
              <w:left w:val="nil"/>
              <w:bottom w:val="single" w:sz="4" w:space="0" w:color="C0C0C0"/>
              <w:right w:val="single" w:sz="4" w:space="0" w:color="auto"/>
            </w:tcBorders>
            <w:shd w:val="clear" w:color="auto" w:fill="auto"/>
            <w:noWrap/>
            <w:vAlign w:val="center"/>
            <w:hideMark/>
          </w:tcPr>
          <w:p w14:paraId="7F09280F"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039</w:t>
            </w:r>
          </w:p>
        </w:tc>
        <w:tc>
          <w:tcPr>
            <w:tcW w:w="1685" w:type="dxa"/>
            <w:tcBorders>
              <w:top w:val="nil"/>
              <w:left w:val="nil"/>
              <w:bottom w:val="single" w:sz="4" w:space="0" w:color="C0C0C0"/>
              <w:right w:val="single" w:sz="4" w:space="0" w:color="auto"/>
            </w:tcBorders>
            <w:shd w:val="clear" w:color="auto" w:fill="auto"/>
            <w:noWrap/>
            <w:vAlign w:val="center"/>
            <w:hideMark/>
          </w:tcPr>
          <w:p w14:paraId="1D52D30B"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112.367,64</w:t>
            </w:r>
          </w:p>
        </w:tc>
        <w:tc>
          <w:tcPr>
            <w:tcW w:w="1715" w:type="dxa"/>
            <w:tcBorders>
              <w:top w:val="nil"/>
              <w:left w:val="nil"/>
              <w:bottom w:val="single" w:sz="4" w:space="0" w:color="C0C0C0"/>
              <w:right w:val="single" w:sz="4" w:space="0" w:color="auto"/>
            </w:tcBorders>
            <w:shd w:val="clear" w:color="auto" w:fill="auto"/>
            <w:noWrap/>
            <w:vAlign w:val="center"/>
            <w:hideMark/>
          </w:tcPr>
          <w:p w14:paraId="0D770FC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108.621,04</w:t>
            </w:r>
          </w:p>
        </w:tc>
      </w:tr>
      <w:tr w:rsidR="00EA6933" w:rsidRPr="00EA6933" w14:paraId="7C1AC9F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BDC1A77"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3. Gotovi proizvodi</w:t>
            </w:r>
          </w:p>
        </w:tc>
        <w:tc>
          <w:tcPr>
            <w:tcW w:w="691" w:type="dxa"/>
            <w:tcBorders>
              <w:top w:val="nil"/>
              <w:left w:val="nil"/>
              <w:bottom w:val="single" w:sz="4" w:space="0" w:color="C0C0C0"/>
              <w:right w:val="single" w:sz="4" w:space="0" w:color="auto"/>
            </w:tcBorders>
            <w:shd w:val="clear" w:color="auto" w:fill="auto"/>
            <w:noWrap/>
            <w:vAlign w:val="center"/>
            <w:hideMark/>
          </w:tcPr>
          <w:p w14:paraId="65EFFB0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041</w:t>
            </w:r>
          </w:p>
        </w:tc>
        <w:tc>
          <w:tcPr>
            <w:tcW w:w="1685" w:type="dxa"/>
            <w:tcBorders>
              <w:top w:val="nil"/>
              <w:left w:val="nil"/>
              <w:bottom w:val="single" w:sz="4" w:space="0" w:color="C0C0C0"/>
              <w:right w:val="single" w:sz="4" w:space="0" w:color="auto"/>
            </w:tcBorders>
            <w:shd w:val="clear" w:color="auto" w:fill="auto"/>
            <w:noWrap/>
            <w:vAlign w:val="center"/>
            <w:hideMark/>
          </w:tcPr>
          <w:p w14:paraId="427D42E9"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91.056,47</w:t>
            </w:r>
          </w:p>
        </w:tc>
        <w:tc>
          <w:tcPr>
            <w:tcW w:w="1715" w:type="dxa"/>
            <w:tcBorders>
              <w:top w:val="nil"/>
              <w:left w:val="nil"/>
              <w:bottom w:val="single" w:sz="4" w:space="0" w:color="C0C0C0"/>
              <w:right w:val="single" w:sz="4" w:space="0" w:color="auto"/>
            </w:tcBorders>
            <w:shd w:val="clear" w:color="auto" w:fill="auto"/>
            <w:noWrap/>
            <w:vAlign w:val="center"/>
            <w:hideMark/>
          </w:tcPr>
          <w:p w14:paraId="5A7CAD8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100.290,58</w:t>
            </w:r>
          </w:p>
        </w:tc>
      </w:tr>
      <w:tr w:rsidR="00EA6933" w:rsidRPr="00EA6933" w14:paraId="7E32CF63"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AC22CF2"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4. Trgovačka roba</w:t>
            </w:r>
          </w:p>
        </w:tc>
        <w:tc>
          <w:tcPr>
            <w:tcW w:w="691" w:type="dxa"/>
            <w:tcBorders>
              <w:top w:val="nil"/>
              <w:left w:val="nil"/>
              <w:bottom w:val="single" w:sz="4" w:space="0" w:color="C0C0C0"/>
              <w:right w:val="single" w:sz="4" w:space="0" w:color="auto"/>
            </w:tcBorders>
            <w:shd w:val="clear" w:color="auto" w:fill="auto"/>
            <w:noWrap/>
            <w:vAlign w:val="center"/>
            <w:hideMark/>
          </w:tcPr>
          <w:p w14:paraId="76430645"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042</w:t>
            </w:r>
          </w:p>
        </w:tc>
        <w:tc>
          <w:tcPr>
            <w:tcW w:w="1685" w:type="dxa"/>
            <w:tcBorders>
              <w:top w:val="nil"/>
              <w:left w:val="nil"/>
              <w:bottom w:val="single" w:sz="4" w:space="0" w:color="C0C0C0"/>
              <w:right w:val="single" w:sz="4" w:space="0" w:color="auto"/>
            </w:tcBorders>
            <w:shd w:val="clear" w:color="auto" w:fill="auto"/>
            <w:noWrap/>
            <w:vAlign w:val="center"/>
            <w:hideMark/>
          </w:tcPr>
          <w:p w14:paraId="0454746A"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17.986,68</w:t>
            </w:r>
          </w:p>
        </w:tc>
        <w:tc>
          <w:tcPr>
            <w:tcW w:w="1715" w:type="dxa"/>
            <w:tcBorders>
              <w:top w:val="nil"/>
              <w:left w:val="nil"/>
              <w:bottom w:val="single" w:sz="4" w:space="0" w:color="C0C0C0"/>
              <w:right w:val="single" w:sz="4" w:space="0" w:color="auto"/>
            </w:tcBorders>
            <w:shd w:val="clear" w:color="auto" w:fill="auto"/>
            <w:noWrap/>
            <w:vAlign w:val="center"/>
            <w:hideMark/>
          </w:tcPr>
          <w:p w14:paraId="3702B6FD"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20.154,89</w:t>
            </w:r>
          </w:p>
        </w:tc>
      </w:tr>
      <w:tr w:rsidR="00EA6933" w:rsidRPr="00EA6933" w14:paraId="751C8055"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6C3848F"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II. POTRAŽIVANJA (AOP 047 do 052)</w:t>
            </w:r>
          </w:p>
        </w:tc>
        <w:tc>
          <w:tcPr>
            <w:tcW w:w="691" w:type="dxa"/>
            <w:tcBorders>
              <w:top w:val="nil"/>
              <w:left w:val="nil"/>
              <w:bottom w:val="single" w:sz="4" w:space="0" w:color="C0C0C0"/>
              <w:right w:val="single" w:sz="4" w:space="0" w:color="auto"/>
            </w:tcBorders>
            <w:shd w:val="clear" w:color="auto" w:fill="auto"/>
            <w:noWrap/>
            <w:vAlign w:val="center"/>
            <w:hideMark/>
          </w:tcPr>
          <w:p w14:paraId="25C15125"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046</w:t>
            </w:r>
          </w:p>
        </w:tc>
        <w:tc>
          <w:tcPr>
            <w:tcW w:w="1685" w:type="dxa"/>
            <w:tcBorders>
              <w:top w:val="nil"/>
              <w:left w:val="nil"/>
              <w:bottom w:val="single" w:sz="4" w:space="0" w:color="C0C0C0"/>
              <w:right w:val="single" w:sz="4" w:space="0" w:color="auto"/>
            </w:tcBorders>
            <w:shd w:val="clear" w:color="auto" w:fill="auto"/>
            <w:noWrap/>
            <w:vAlign w:val="center"/>
            <w:hideMark/>
          </w:tcPr>
          <w:p w14:paraId="0452C133"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1.170.571,46</w:t>
            </w:r>
          </w:p>
        </w:tc>
        <w:tc>
          <w:tcPr>
            <w:tcW w:w="1715" w:type="dxa"/>
            <w:tcBorders>
              <w:top w:val="nil"/>
              <w:left w:val="nil"/>
              <w:bottom w:val="single" w:sz="4" w:space="0" w:color="C0C0C0"/>
              <w:right w:val="single" w:sz="4" w:space="0" w:color="auto"/>
            </w:tcBorders>
            <w:shd w:val="clear" w:color="auto" w:fill="auto"/>
            <w:noWrap/>
            <w:vAlign w:val="center"/>
            <w:hideMark/>
          </w:tcPr>
          <w:p w14:paraId="75CA8350"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2.387.969,22</w:t>
            </w:r>
          </w:p>
        </w:tc>
      </w:tr>
      <w:tr w:rsidR="00EA6933" w:rsidRPr="00EA6933" w14:paraId="5CEF25D0"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E7CF402"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3. Potraživanja od kupaca</w:t>
            </w:r>
          </w:p>
        </w:tc>
        <w:tc>
          <w:tcPr>
            <w:tcW w:w="691" w:type="dxa"/>
            <w:tcBorders>
              <w:top w:val="nil"/>
              <w:left w:val="nil"/>
              <w:bottom w:val="single" w:sz="4" w:space="0" w:color="C0C0C0"/>
              <w:right w:val="single" w:sz="4" w:space="0" w:color="auto"/>
            </w:tcBorders>
            <w:shd w:val="clear" w:color="auto" w:fill="auto"/>
            <w:noWrap/>
            <w:vAlign w:val="center"/>
            <w:hideMark/>
          </w:tcPr>
          <w:p w14:paraId="5AA9CF8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049</w:t>
            </w:r>
          </w:p>
        </w:tc>
        <w:tc>
          <w:tcPr>
            <w:tcW w:w="1685" w:type="dxa"/>
            <w:tcBorders>
              <w:top w:val="nil"/>
              <w:left w:val="nil"/>
              <w:bottom w:val="single" w:sz="4" w:space="0" w:color="C0C0C0"/>
              <w:right w:val="single" w:sz="4" w:space="0" w:color="auto"/>
            </w:tcBorders>
            <w:shd w:val="clear" w:color="auto" w:fill="auto"/>
            <w:noWrap/>
            <w:vAlign w:val="center"/>
            <w:hideMark/>
          </w:tcPr>
          <w:p w14:paraId="3F8AA5D0"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1.024.734,96</w:t>
            </w:r>
          </w:p>
        </w:tc>
        <w:tc>
          <w:tcPr>
            <w:tcW w:w="1715" w:type="dxa"/>
            <w:tcBorders>
              <w:top w:val="nil"/>
              <w:left w:val="nil"/>
              <w:bottom w:val="single" w:sz="4" w:space="0" w:color="C0C0C0"/>
              <w:right w:val="single" w:sz="4" w:space="0" w:color="auto"/>
            </w:tcBorders>
            <w:shd w:val="clear" w:color="auto" w:fill="auto"/>
            <w:noWrap/>
            <w:vAlign w:val="center"/>
            <w:hideMark/>
          </w:tcPr>
          <w:p w14:paraId="4507F281"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2.117.467,00</w:t>
            </w:r>
          </w:p>
        </w:tc>
      </w:tr>
      <w:tr w:rsidR="00EA6933" w:rsidRPr="00EA6933" w14:paraId="7919C06B"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D8A8C6E"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4. Potraživanja od zaposlenika i članova poduzetnika</w:t>
            </w:r>
          </w:p>
        </w:tc>
        <w:tc>
          <w:tcPr>
            <w:tcW w:w="691" w:type="dxa"/>
            <w:tcBorders>
              <w:top w:val="nil"/>
              <w:left w:val="nil"/>
              <w:bottom w:val="single" w:sz="4" w:space="0" w:color="C0C0C0"/>
              <w:right w:val="single" w:sz="4" w:space="0" w:color="auto"/>
            </w:tcBorders>
            <w:shd w:val="clear" w:color="auto" w:fill="auto"/>
            <w:noWrap/>
            <w:vAlign w:val="center"/>
            <w:hideMark/>
          </w:tcPr>
          <w:p w14:paraId="273A391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050</w:t>
            </w:r>
          </w:p>
        </w:tc>
        <w:tc>
          <w:tcPr>
            <w:tcW w:w="1685" w:type="dxa"/>
            <w:tcBorders>
              <w:top w:val="nil"/>
              <w:left w:val="nil"/>
              <w:bottom w:val="single" w:sz="4" w:space="0" w:color="C0C0C0"/>
              <w:right w:val="single" w:sz="4" w:space="0" w:color="auto"/>
            </w:tcBorders>
            <w:shd w:val="clear" w:color="auto" w:fill="auto"/>
            <w:noWrap/>
            <w:vAlign w:val="center"/>
            <w:hideMark/>
          </w:tcPr>
          <w:p w14:paraId="7FAC2A99"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106,43</w:t>
            </w:r>
          </w:p>
        </w:tc>
        <w:tc>
          <w:tcPr>
            <w:tcW w:w="1715" w:type="dxa"/>
            <w:tcBorders>
              <w:top w:val="nil"/>
              <w:left w:val="nil"/>
              <w:bottom w:val="single" w:sz="4" w:space="0" w:color="C0C0C0"/>
              <w:right w:val="single" w:sz="4" w:space="0" w:color="auto"/>
            </w:tcBorders>
            <w:shd w:val="clear" w:color="auto" w:fill="auto"/>
            <w:noWrap/>
            <w:vAlign w:val="center"/>
            <w:hideMark/>
          </w:tcPr>
          <w:p w14:paraId="0AEB1F3B"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3.070,82</w:t>
            </w:r>
          </w:p>
        </w:tc>
      </w:tr>
      <w:tr w:rsidR="00EA6933" w:rsidRPr="00EA6933" w14:paraId="17CCB0DA"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BF7CC98"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5. Potraživanja od države i drugih institucija</w:t>
            </w:r>
          </w:p>
        </w:tc>
        <w:tc>
          <w:tcPr>
            <w:tcW w:w="691" w:type="dxa"/>
            <w:tcBorders>
              <w:top w:val="nil"/>
              <w:left w:val="nil"/>
              <w:bottom w:val="single" w:sz="4" w:space="0" w:color="C0C0C0"/>
              <w:right w:val="single" w:sz="4" w:space="0" w:color="auto"/>
            </w:tcBorders>
            <w:shd w:val="clear" w:color="auto" w:fill="auto"/>
            <w:noWrap/>
            <w:vAlign w:val="center"/>
            <w:hideMark/>
          </w:tcPr>
          <w:p w14:paraId="1C70C9A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051</w:t>
            </w:r>
          </w:p>
        </w:tc>
        <w:tc>
          <w:tcPr>
            <w:tcW w:w="1685" w:type="dxa"/>
            <w:tcBorders>
              <w:top w:val="nil"/>
              <w:left w:val="nil"/>
              <w:bottom w:val="single" w:sz="4" w:space="0" w:color="C0C0C0"/>
              <w:right w:val="single" w:sz="4" w:space="0" w:color="auto"/>
            </w:tcBorders>
            <w:shd w:val="clear" w:color="auto" w:fill="auto"/>
            <w:noWrap/>
            <w:vAlign w:val="center"/>
            <w:hideMark/>
          </w:tcPr>
          <w:p w14:paraId="2DF4A47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18.926,29</w:t>
            </w:r>
          </w:p>
        </w:tc>
        <w:tc>
          <w:tcPr>
            <w:tcW w:w="1715" w:type="dxa"/>
            <w:tcBorders>
              <w:top w:val="nil"/>
              <w:left w:val="nil"/>
              <w:bottom w:val="single" w:sz="4" w:space="0" w:color="C0C0C0"/>
              <w:right w:val="single" w:sz="4" w:space="0" w:color="auto"/>
            </w:tcBorders>
            <w:shd w:val="clear" w:color="auto" w:fill="auto"/>
            <w:noWrap/>
            <w:vAlign w:val="center"/>
            <w:hideMark/>
          </w:tcPr>
          <w:p w14:paraId="1D566E2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236.748,76</w:t>
            </w:r>
          </w:p>
        </w:tc>
      </w:tr>
      <w:tr w:rsidR="00EA6933" w:rsidRPr="00EA6933" w14:paraId="43B3CDD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2A95724"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6. Ostala potraživanja</w:t>
            </w:r>
          </w:p>
        </w:tc>
        <w:tc>
          <w:tcPr>
            <w:tcW w:w="691" w:type="dxa"/>
            <w:tcBorders>
              <w:top w:val="nil"/>
              <w:left w:val="nil"/>
              <w:bottom w:val="single" w:sz="4" w:space="0" w:color="C0C0C0"/>
              <w:right w:val="single" w:sz="4" w:space="0" w:color="auto"/>
            </w:tcBorders>
            <w:shd w:val="clear" w:color="auto" w:fill="auto"/>
            <w:noWrap/>
            <w:vAlign w:val="center"/>
            <w:hideMark/>
          </w:tcPr>
          <w:p w14:paraId="5580BF8B"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052</w:t>
            </w:r>
          </w:p>
        </w:tc>
        <w:tc>
          <w:tcPr>
            <w:tcW w:w="1685" w:type="dxa"/>
            <w:tcBorders>
              <w:top w:val="nil"/>
              <w:left w:val="nil"/>
              <w:bottom w:val="single" w:sz="4" w:space="0" w:color="C0C0C0"/>
              <w:right w:val="single" w:sz="4" w:space="0" w:color="auto"/>
            </w:tcBorders>
            <w:shd w:val="clear" w:color="auto" w:fill="auto"/>
            <w:noWrap/>
            <w:vAlign w:val="center"/>
            <w:hideMark/>
          </w:tcPr>
          <w:p w14:paraId="47410B91"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126.803,78</w:t>
            </w:r>
          </w:p>
        </w:tc>
        <w:tc>
          <w:tcPr>
            <w:tcW w:w="1715" w:type="dxa"/>
            <w:tcBorders>
              <w:top w:val="nil"/>
              <w:left w:val="nil"/>
              <w:bottom w:val="single" w:sz="4" w:space="0" w:color="C0C0C0"/>
              <w:right w:val="single" w:sz="4" w:space="0" w:color="auto"/>
            </w:tcBorders>
            <w:shd w:val="clear" w:color="auto" w:fill="auto"/>
            <w:noWrap/>
            <w:vAlign w:val="center"/>
            <w:hideMark/>
          </w:tcPr>
          <w:p w14:paraId="25658BE0"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30.682,64</w:t>
            </w:r>
          </w:p>
        </w:tc>
      </w:tr>
      <w:tr w:rsidR="00EA6933" w:rsidRPr="00EA6933" w14:paraId="23E92062"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3EBA2AA"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III. KRATKOTRAJNA FINANCIJSKA IMOVINA (AOP 054 do 062)</w:t>
            </w:r>
          </w:p>
        </w:tc>
        <w:tc>
          <w:tcPr>
            <w:tcW w:w="691" w:type="dxa"/>
            <w:tcBorders>
              <w:top w:val="nil"/>
              <w:left w:val="nil"/>
              <w:bottom w:val="single" w:sz="4" w:space="0" w:color="C0C0C0"/>
              <w:right w:val="single" w:sz="4" w:space="0" w:color="auto"/>
            </w:tcBorders>
            <w:shd w:val="clear" w:color="auto" w:fill="auto"/>
            <w:noWrap/>
            <w:vAlign w:val="center"/>
            <w:hideMark/>
          </w:tcPr>
          <w:p w14:paraId="61CC487F"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053</w:t>
            </w:r>
          </w:p>
        </w:tc>
        <w:tc>
          <w:tcPr>
            <w:tcW w:w="1685" w:type="dxa"/>
            <w:tcBorders>
              <w:top w:val="nil"/>
              <w:left w:val="nil"/>
              <w:bottom w:val="single" w:sz="4" w:space="0" w:color="C0C0C0"/>
              <w:right w:val="single" w:sz="4" w:space="0" w:color="auto"/>
            </w:tcBorders>
            <w:shd w:val="clear" w:color="auto" w:fill="auto"/>
            <w:noWrap/>
            <w:vAlign w:val="center"/>
            <w:hideMark/>
          </w:tcPr>
          <w:p w14:paraId="750609D3"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11.173,71</w:t>
            </w:r>
          </w:p>
        </w:tc>
        <w:tc>
          <w:tcPr>
            <w:tcW w:w="1715" w:type="dxa"/>
            <w:tcBorders>
              <w:top w:val="nil"/>
              <w:left w:val="nil"/>
              <w:bottom w:val="single" w:sz="4" w:space="0" w:color="C0C0C0"/>
              <w:right w:val="single" w:sz="4" w:space="0" w:color="auto"/>
            </w:tcBorders>
            <w:shd w:val="clear" w:color="auto" w:fill="auto"/>
            <w:noWrap/>
            <w:vAlign w:val="center"/>
            <w:hideMark/>
          </w:tcPr>
          <w:p w14:paraId="03B3CDC1"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4.968,17</w:t>
            </w:r>
          </w:p>
        </w:tc>
      </w:tr>
      <w:tr w:rsidR="00EA6933" w:rsidRPr="00EA6933" w14:paraId="6D637D1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73A810A"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8. Dani zajmovi, depoziti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7A752E14"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061</w:t>
            </w:r>
          </w:p>
        </w:tc>
        <w:tc>
          <w:tcPr>
            <w:tcW w:w="1685" w:type="dxa"/>
            <w:tcBorders>
              <w:top w:val="nil"/>
              <w:left w:val="nil"/>
              <w:bottom w:val="single" w:sz="4" w:space="0" w:color="C0C0C0"/>
              <w:right w:val="single" w:sz="4" w:space="0" w:color="auto"/>
            </w:tcBorders>
            <w:shd w:val="clear" w:color="auto" w:fill="auto"/>
            <w:noWrap/>
            <w:vAlign w:val="center"/>
            <w:hideMark/>
          </w:tcPr>
          <w:p w14:paraId="7C75A01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11.173,71</w:t>
            </w:r>
          </w:p>
        </w:tc>
        <w:tc>
          <w:tcPr>
            <w:tcW w:w="1715" w:type="dxa"/>
            <w:tcBorders>
              <w:top w:val="nil"/>
              <w:left w:val="nil"/>
              <w:bottom w:val="single" w:sz="4" w:space="0" w:color="C0C0C0"/>
              <w:right w:val="single" w:sz="4" w:space="0" w:color="auto"/>
            </w:tcBorders>
            <w:shd w:val="clear" w:color="auto" w:fill="auto"/>
            <w:noWrap/>
            <w:vAlign w:val="center"/>
            <w:hideMark/>
          </w:tcPr>
          <w:p w14:paraId="478C5346"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4.968,17</w:t>
            </w:r>
          </w:p>
        </w:tc>
      </w:tr>
      <w:tr w:rsidR="00EA6933" w:rsidRPr="00EA6933" w14:paraId="34C9CFA3"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2F11941"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IV. NOVAC U BANCI I BLAGAJNI</w:t>
            </w:r>
          </w:p>
        </w:tc>
        <w:tc>
          <w:tcPr>
            <w:tcW w:w="691" w:type="dxa"/>
            <w:tcBorders>
              <w:top w:val="nil"/>
              <w:left w:val="nil"/>
              <w:bottom w:val="single" w:sz="4" w:space="0" w:color="C0C0C0"/>
              <w:right w:val="single" w:sz="4" w:space="0" w:color="auto"/>
            </w:tcBorders>
            <w:shd w:val="clear" w:color="auto" w:fill="auto"/>
            <w:noWrap/>
            <w:vAlign w:val="center"/>
            <w:hideMark/>
          </w:tcPr>
          <w:p w14:paraId="16628B1D"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063</w:t>
            </w:r>
          </w:p>
        </w:tc>
        <w:tc>
          <w:tcPr>
            <w:tcW w:w="1685" w:type="dxa"/>
            <w:tcBorders>
              <w:top w:val="nil"/>
              <w:left w:val="nil"/>
              <w:bottom w:val="single" w:sz="4" w:space="0" w:color="C0C0C0"/>
              <w:right w:val="single" w:sz="4" w:space="0" w:color="auto"/>
            </w:tcBorders>
            <w:shd w:val="clear" w:color="auto" w:fill="auto"/>
            <w:noWrap/>
            <w:vAlign w:val="center"/>
            <w:hideMark/>
          </w:tcPr>
          <w:p w14:paraId="5D7F895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425.078,35</w:t>
            </w:r>
          </w:p>
        </w:tc>
        <w:tc>
          <w:tcPr>
            <w:tcW w:w="1715" w:type="dxa"/>
            <w:tcBorders>
              <w:top w:val="nil"/>
              <w:left w:val="nil"/>
              <w:bottom w:val="single" w:sz="4" w:space="0" w:color="C0C0C0"/>
              <w:right w:val="single" w:sz="4" w:space="0" w:color="auto"/>
            </w:tcBorders>
            <w:shd w:val="clear" w:color="auto" w:fill="auto"/>
            <w:noWrap/>
            <w:vAlign w:val="center"/>
            <w:hideMark/>
          </w:tcPr>
          <w:p w14:paraId="00C5869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460.105,41</w:t>
            </w:r>
          </w:p>
        </w:tc>
      </w:tr>
      <w:tr w:rsidR="00EA6933" w:rsidRPr="00EA6933" w14:paraId="5BD8F16A" w14:textId="77777777" w:rsidTr="00A853FC">
        <w:trPr>
          <w:trHeight w:val="498"/>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D2F6633"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D)  PLAĆENI TROŠKOVI BUDUĆEG RAZDOBLJA I OBRAČUNATI</w:t>
            </w:r>
            <w:r w:rsidRPr="00EA6933">
              <w:rPr>
                <w:rFonts w:ascii="Arial" w:eastAsia="Times New Roman" w:hAnsi="Arial" w:cs="Arial"/>
                <w:b/>
                <w:bCs/>
                <w:color w:val="333399"/>
                <w:sz w:val="18"/>
                <w:szCs w:val="18"/>
                <w:lang w:eastAsia="hr-HR"/>
              </w:rPr>
              <w:br/>
              <w:t xml:space="preserve">      PRIHODI</w:t>
            </w:r>
          </w:p>
        </w:tc>
        <w:tc>
          <w:tcPr>
            <w:tcW w:w="691" w:type="dxa"/>
            <w:tcBorders>
              <w:top w:val="nil"/>
              <w:left w:val="nil"/>
              <w:bottom w:val="single" w:sz="4" w:space="0" w:color="C0C0C0"/>
              <w:right w:val="single" w:sz="4" w:space="0" w:color="auto"/>
            </w:tcBorders>
            <w:shd w:val="clear" w:color="auto" w:fill="auto"/>
            <w:noWrap/>
            <w:vAlign w:val="center"/>
            <w:hideMark/>
          </w:tcPr>
          <w:p w14:paraId="5E708A8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064</w:t>
            </w:r>
          </w:p>
        </w:tc>
        <w:tc>
          <w:tcPr>
            <w:tcW w:w="1685" w:type="dxa"/>
            <w:tcBorders>
              <w:top w:val="nil"/>
              <w:left w:val="nil"/>
              <w:bottom w:val="single" w:sz="4" w:space="0" w:color="C0C0C0"/>
              <w:right w:val="single" w:sz="4" w:space="0" w:color="auto"/>
            </w:tcBorders>
            <w:shd w:val="clear" w:color="auto" w:fill="auto"/>
            <w:noWrap/>
            <w:vAlign w:val="center"/>
            <w:hideMark/>
          </w:tcPr>
          <w:p w14:paraId="1E7F5707"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11.014,51</w:t>
            </w:r>
          </w:p>
        </w:tc>
        <w:tc>
          <w:tcPr>
            <w:tcW w:w="1715" w:type="dxa"/>
            <w:tcBorders>
              <w:top w:val="nil"/>
              <w:left w:val="nil"/>
              <w:bottom w:val="single" w:sz="4" w:space="0" w:color="C0C0C0"/>
              <w:right w:val="single" w:sz="4" w:space="0" w:color="auto"/>
            </w:tcBorders>
            <w:shd w:val="clear" w:color="auto" w:fill="auto"/>
            <w:noWrap/>
            <w:vAlign w:val="center"/>
            <w:hideMark/>
          </w:tcPr>
          <w:p w14:paraId="163A764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27.390,48</w:t>
            </w:r>
          </w:p>
        </w:tc>
      </w:tr>
      <w:tr w:rsidR="00EA6933" w:rsidRPr="00EA6933" w14:paraId="089433F6"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CB24501"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E)  UKUPNO AKTIVA </w:t>
            </w:r>
            <w:r w:rsidRPr="00EA6933">
              <w:rPr>
                <w:rFonts w:ascii="Arial" w:eastAsia="Times New Roman" w:hAnsi="Arial" w:cs="Arial"/>
                <w:color w:val="333399"/>
                <w:sz w:val="18"/>
                <w:szCs w:val="18"/>
                <w:lang w:eastAsia="hr-HR"/>
              </w:rPr>
              <w:t>(AOP 001+002+037+064)</w:t>
            </w:r>
          </w:p>
        </w:tc>
        <w:tc>
          <w:tcPr>
            <w:tcW w:w="691" w:type="dxa"/>
            <w:tcBorders>
              <w:top w:val="nil"/>
              <w:left w:val="nil"/>
              <w:bottom w:val="single" w:sz="4" w:space="0" w:color="C0C0C0"/>
              <w:right w:val="single" w:sz="4" w:space="0" w:color="auto"/>
            </w:tcBorders>
            <w:shd w:val="clear" w:color="auto" w:fill="auto"/>
            <w:noWrap/>
            <w:vAlign w:val="center"/>
            <w:hideMark/>
          </w:tcPr>
          <w:p w14:paraId="4E0DF48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065</w:t>
            </w:r>
          </w:p>
        </w:tc>
        <w:tc>
          <w:tcPr>
            <w:tcW w:w="1685" w:type="dxa"/>
            <w:tcBorders>
              <w:top w:val="nil"/>
              <w:left w:val="nil"/>
              <w:bottom w:val="single" w:sz="4" w:space="0" w:color="C0C0C0"/>
              <w:right w:val="single" w:sz="4" w:space="0" w:color="auto"/>
            </w:tcBorders>
            <w:shd w:val="clear" w:color="auto" w:fill="auto"/>
            <w:noWrap/>
            <w:vAlign w:val="center"/>
            <w:hideMark/>
          </w:tcPr>
          <w:p w14:paraId="0869DB19"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12.105.596,20</w:t>
            </w:r>
          </w:p>
        </w:tc>
        <w:tc>
          <w:tcPr>
            <w:tcW w:w="1715" w:type="dxa"/>
            <w:tcBorders>
              <w:top w:val="nil"/>
              <w:left w:val="nil"/>
              <w:bottom w:val="single" w:sz="4" w:space="0" w:color="C0C0C0"/>
              <w:right w:val="single" w:sz="4" w:space="0" w:color="auto"/>
            </w:tcBorders>
            <w:shd w:val="clear" w:color="auto" w:fill="auto"/>
            <w:noWrap/>
            <w:vAlign w:val="center"/>
            <w:hideMark/>
          </w:tcPr>
          <w:p w14:paraId="60070694"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14.643.891,18</w:t>
            </w:r>
          </w:p>
        </w:tc>
      </w:tr>
      <w:tr w:rsidR="00EA6933" w:rsidRPr="00EA6933" w14:paraId="377FA9A3" w14:textId="77777777" w:rsidTr="00A853FC">
        <w:trPr>
          <w:trHeight w:val="282"/>
          <w:jc w:val="center"/>
        </w:trPr>
        <w:tc>
          <w:tcPr>
            <w:tcW w:w="5699"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389A0FD4"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F)  IZVANBILANČNI ZAPISI</w:t>
            </w:r>
          </w:p>
        </w:tc>
        <w:tc>
          <w:tcPr>
            <w:tcW w:w="691" w:type="dxa"/>
            <w:tcBorders>
              <w:top w:val="nil"/>
              <w:left w:val="nil"/>
              <w:bottom w:val="single" w:sz="4" w:space="0" w:color="auto"/>
              <w:right w:val="single" w:sz="4" w:space="0" w:color="auto"/>
            </w:tcBorders>
            <w:shd w:val="clear" w:color="auto" w:fill="auto"/>
            <w:noWrap/>
            <w:vAlign w:val="center"/>
            <w:hideMark/>
          </w:tcPr>
          <w:p w14:paraId="095DF8FB"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066</w:t>
            </w:r>
          </w:p>
        </w:tc>
        <w:tc>
          <w:tcPr>
            <w:tcW w:w="1685" w:type="dxa"/>
            <w:tcBorders>
              <w:top w:val="nil"/>
              <w:left w:val="nil"/>
              <w:bottom w:val="single" w:sz="4" w:space="0" w:color="auto"/>
              <w:right w:val="single" w:sz="4" w:space="0" w:color="auto"/>
            </w:tcBorders>
            <w:shd w:val="clear" w:color="auto" w:fill="auto"/>
            <w:noWrap/>
            <w:vAlign w:val="center"/>
            <w:hideMark/>
          </w:tcPr>
          <w:p w14:paraId="75257B2A"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14.303.451,90</w:t>
            </w:r>
          </w:p>
        </w:tc>
        <w:tc>
          <w:tcPr>
            <w:tcW w:w="1715" w:type="dxa"/>
            <w:tcBorders>
              <w:top w:val="nil"/>
              <w:left w:val="nil"/>
              <w:bottom w:val="single" w:sz="4" w:space="0" w:color="auto"/>
              <w:right w:val="single" w:sz="4" w:space="0" w:color="auto"/>
            </w:tcBorders>
            <w:shd w:val="clear" w:color="auto" w:fill="auto"/>
            <w:noWrap/>
            <w:vAlign w:val="center"/>
            <w:hideMark/>
          </w:tcPr>
          <w:p w14:paraId="39F2ED20"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15.753.664,16</w:t>
            </w:r>
          </w:p>
        </w:tc>
      </w:tr>
      <w:tr w:rsidR="00EA6933" w:rsidRPr="00EA6933" w14:paraId="1B54052F"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79B90DB"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A)  KAPITAL I REZERVE </w:t>
            </w:r>
            <w:r w:rsidRPr="00EA6933">
              <w:rPr>
                <w:rFonts w:ascii="Arial" w:eastAsia="Times New Roman" w:hAnsi="Arial" w:cs="Arial"/>
                <w:color w:val="333399"/>
                <w:sz w:val="18"/>
                <w:szCs w:val="18"/>
                <w:lang w:eastAsia="hr-HR"/>
              </w:rPr>
              <w:t>(AOP 068 do 070+076+077+084+087+090)</w:t>
            </w:r>
          </w:p>
        </w:tc>
        <w:tc>
          <w:tcPr>
            <w:tcW w:w="691" w:type="dxa"/>
            <w:tcBorders>
              <w:top w:val="nil"/>
              <w:left w:val="nil"/>
              <w:bottom w:val="single" w:sz="4" w:space="0" w:color="C0C0C0"/>
              <w:right w:val="single" w:sz="4" w:space="0" w:color="auto"/>
            </w:tcBorders>
            <w:shd w:val="clear" w:color="auto" w:fill="auto"/>
            <w:noWrap/>
            <w:vAlign w:val="center"/>
            <w:hideMark/>
          </w:tcPr>
          <w:p w14:paraId="6610F5B3"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067</w:t>
            </w:r>
          </w:p>
        </w:tc>
        <w:tc>
          <w:tcPr>
            <w:tcW w:w="1685" w:type="dxa"/>
            <w:tcBorders>
              <w:top w:val="nil"/>
              <w:left w:val="nil"/>
              <w:bottom w:val="single" w:sz="4" w:space="0" w:color="C0C0C0"/>
              <w:right w:val="single" w:sz="4" w:space="0" w:color="auto"/>
            </w:tcBorders>
            <w:shd w:val="clear" w:color="auto" w:fill="auto"/>
            <w:noWrap/>
            <w:vAlign w:val="center"/>
            <w:hideMark/>
          </w:tcPr>
          <w:p w14:paraId="33AED38E"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5.688.629,91</w:t>
            </w:r>
          </w:p>
        </w:tc>
        <w:tc>
          <w:tcPr>
            <w:tcW w:w="1715" w:type="dxa"/>
            <w:tcBorders>
              <w:top w:val="nil"/>
              <w:left w:val="nil"/>
              <w:bottom w:val="single" w:sz="4" w:space="0" w:color="C0C0C0"/>
              <w:right w:val="single" w:sz="4" w:space="0" w:color="auto"/>
            </w:tcBorders>
            <w:shd w:val="clear" w:color="auto" w:fill="auto"/>
            <w:noWrap/>
            <w:vAlign w:val="center"/>
            <w:hideMark/>
          </w:tcPr>
          <w:p w14:paraId="54F6CE45"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5.738.196,58</w:t>
            </w:r>
          </w:p>
        </w:tc>
      </w:tr>
      <w:tr w:rsidR="00EA6933" w:rsidRPr="00EA6933" w14:paraId="7971F30C"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157A6EF"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 TEMELJNI (UPISANI) KAPITAL</w:t>
            </w:r>
          </w:p>
        </w:tc>
        <w:tc>
          <w:tcPr>
            <w:tcW w:w="691" w:type="dxa"/>
            <w:tcBorders>
              <w:top w:val="nil"/>
              <w:left w:val="nil"/>
              <w:bottom w:val="single" w:sz="4" w:space="0" w:color="C0C0C0"/>
              <w:right w:val="single" w:sz="4" w:space="0" w:color="auto"/>
            </w:tcBorders>
            <w:shd w:val="clear" w:color="auto" w:fill="auto"/>
            <w:noWrap/>
            <w:vAlign w:val="center"/>
            <w:hideMark/>
          </w:tcPr>
          <w:p w14:paraId="1AABBD8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068</w:t>
            </w:r>
          </w:p>
        </w:tc>
        <w:tc>
          <w:tcPr>
            <w:tcW w:w="1685" w:type="dxa"/>
            <w:tcBorders>
              <w:top w:val="nil"/>
              <w:left w:val="nil"/>
              <w:bottom w:val="single" w:sz="4" w:space="0" w:color="C0C0C0"/>
              <w:right w:val="single" w:sz="4" w:space="0" w:color="auto"/>
            </w:tcBorders>
            <w:shd w:val="clear" w:color="auto" w:fill="auto"/>
            <w:noWrap/>
            <w:vAlign w:val="center"/>
            <w:hideMark/>
          </w:tcPr>
          <w:p w14:paraId="4993697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8.019.297,90</w:t>
            </w:r>
          </w:p>
        </w:tc>
        <w:tc>
          <w:tcPr>
            <w:tcW w:w="1715" w:type="dxa"/>
            <w:tcBorders>
              <w:top w:val="nil"/>
              <w:left w:val="nil"/>
              <w:bottom w:val="single" w:sz="4" w:space="0" w:color="C0C0C0"/>
              <w:right w:val="single" w:sz="4" w:space="0" w:color="auto"/>
            </w:tcBorders>
            <w:shd w:val="clear" w:color="auto" w:fill="auto"/>
            <w:noWrap/>
            <w:vAlign w:val="center"/>
            <w:hideMark/>
          </w:tcPr>
          <w:p w14:paraId="3741FC1F"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8.019.260,00</w:t>
            </w:r>
          </w:p>
        </w:tc>
      </w:tr>
      <w:tr w:rsidR="00EA6933" w:rsidRPr="00EA6933" w14:paraId="0EAA219C"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F192392"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III. REZERVE IZ DOBITI (AOP 071+072-073+074+075)</w:t>
            </w:r>
          </w:p>
        </w:tc>
        <w:tc>
          <w:tcPr>
            <w:tcW w:w="691" w:type="dxa"/>
            <w:tcBorders>
              <w:top w:val="nil"/>
              <w:left w:val="nil"/>
              <w:bottom w:val="single" w:sz="4" w:space="0" w:color="C0C0C0"/>
              <w:right w:val="single" w:sz="4" w:space="0" w:color="auto"/>
            </w:tcBorders>
            <w:shd w:val="clear" w:color="auto" w:fill="auto"/>
            <w:noWrap/>
            <w:vAlign w:val="center"/>
            <w:hideMark/>
          </w:tcPr>
          <w:p w14:paraId="62768B34"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070</w:t>
            </w:r>
          </w:p>
        </w:tc>
        <w:tc>
          <w:tcPr>
            <w:tcW w:w="1685" w:type="dxa"/>
            <w:tcBorders>
              <w:top w:val="nil"/>
              <w:left w:val="nil"/>
              <w:bottom w:val="single" w:sz="4" w:space="0" w:color="C0C0C0"/>
              <w:right w:val="single" w:sz="4" w:space="0" w:color="auto"/>
            </w:tcBorders>
            <w:shd w:val="clear" w:color="auto" w:fill="auto"/>
            <w:noWrap/>
            <w:vAlign w:val="center"/>
            <w:hideMark/>
          </w:tcPr>
          <w:p w14:paraId="78C72AB2"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95.771,61</w:t>
            </w:r>
          </w:p>
        </w:tc>
        <w:tc>
          <w:tcPr>
            <w:tcW w:w="1715" w:type="dxa"/>
            <w:tcBorders>
              <w:top w:val="nil"/>
              <w:left w:val="nil"/>
              <w:bottom w:val="single" w:sz="4" w:space="0" w:color="C0C0C0"/>
              <w:right w:val="single" w:sz="4" w:space="0" w:color="auto"/>
            </w:tcBorders>
            <w:shd w:val="clear" w:color="auto" w:fill="auto"/>
            <w:noWrap/>
            <w:vAlign w:val="center"/>
            <w:hideMark/>
          </w:tcPr>
          <w:p w14:paraId="0BBDE295"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95.809,51</w:t>
            </w:r>
          </w:p>
        </w:tc>
      </w:tr>
      <w:tr w:rsidR="00EA6933" w:rsidRPr="00EA6933" w14:paraId="757591FB"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1B2C443"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5. Ostale rezerve</w:t>
            </w:r>
          </w:p>
        </w:tc>
        <w:tc>
          <w:tcPr>
            <w:tcW w:w="691" w:type="dxa"/>
            <w:tcBorders>
              <w:top w:val="nil"/>
              <w:left w:val="nil"/>
              <w:bottom w:val="single" w:sz="4" w:space="0" w:color="C0C0C0"/>
              <w:right w:val="single" w:sz="4" w:space="0" w:color="auto"/>
            </w:tcBorders>
            <w:shd w:val="clear" w:color="auto" w:fill="auto"/>
            <w:noWrap/>
            <w:vAlign w:val="center"/>
            <w:hideMark/>
          </w:tcPr>
          <w:p w14:paraId="72203134"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075</w:t>
            </w:r>
          </w:p>
        </w:tc>
        <w:tc>
          <w:tcPr>
            <w:tcW w:w="1685" w:type="dxa"/>
            <w:tcBorders>
              <w:top w:val="nil"/>
              <w:left w:val="nil"/>
              <w:bottom w:val="single" w:sz="4" w:space="0" w:color="C0C0C0"/>
              <w:right w:val="single" w:sz="4" w:space="0" w:color="auto"/>
            </w:tcBorders>
            <w:shd w:val="clear" w:color="auto" w:fill="auto"/>
            <w:noWrap/>
            <w:vAlign w:val="center"/>
            <w:hideMark/>
          </w:tcPr>
          <w:p w14:paraId="580C834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95.771,61</w:t>
            </w:r>
          </w:p>
        </w:tc>
        <w:tc>
          <w:tcPr>
            <w:tcW w:w="1715" w:type="dxa"/>
            <w:tcBorders>
              <w:top w:val="nil"/>
              <w:left w:val="nil"/>
              <w:bottom w:val="single" w:sz="4" w:space="0" w:color="C0C0C0"/>
              <w:right w:val="single" w:sz="4" w:space="0" w:color="auto"/>
            </w:tcBorders>
            <w:shd w:val="clear" w:color="auto" w:fill="auto"/>
            <w:noWrap/>
            <w:vAlign w:val="center"/>
            <w:hideMark/>
          </w:tcPr>
          <w:p w14:paraId="7314866A"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95.809,51</w:t>
            </w:r>
          </w:p>
        </w:tc>
      </w:tr>
      <w:tr w:rsidR="00EA6933" w:rsidRPr="00EA6933" w14:paraId="5156327B"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E04CF3F"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VI. ZADRŽANA DOBIT ILI PRENESENI GUBITAK (AOP 085-086)</w:t>
            </w:r>
          </w:p>
        </w:tc>
        <w:tc>
          <w:tcPr>
            <w:tcW w:w="691" w:type="dxa"/>
            <w:tcBorders>
              <w:top w:val="nil"/>
              <w:left w:val="nil"/>
              <w:bottom w:val="single" w:sz="4" w:space="0" w:color="C0C0C0"/>
              <w:right w:val="single" w:sz="4" w:space="0" w:color="auto"/>
            </w:tcBorders>
            <w:shd w:val="clear" w:color="auto" w:fill="auto"/>
            <w:noWrap/>
            <w:vAlign w:val="center"/>
            <w:hideMark/>
          </w:tcPr>
          <w:p w14:paraId="798F8477"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084</w:t>
            </w:r>
          </w:p>
        </w:tc>
        <w:tc>
          <w:tcPr>
            <w:tcW w:w="1685" w:type="dxa"/>
            <w:tcBorders>
              <w:top w:val="nil"/>
              <w:left w:val="nil"/>
              <w:bottom w:val="single" w:sz="4" w:space="0" w:color="C0C0C0"/>
              <w:right w:val="single" w:sz="4" w:space="0" w:color="auto"/>
            </w:tcBorders>
            <w:shd w:val="clear" w:color="auto" w:fill="auto"/>
            <w:noWrap/>
            <w:vAlign w:val="center"/>
            <w:hideMark/>
          </w:tcPr>
          <w:p w14:paraId="11D9CE9B"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-2.431.876,37</w:t>
            </w:r>
          </w:p>
        </w:tc>
        <w:tc>
          <w:tcPr>
            <w:tcW w:w="1715" w:type="dxa"/>
            <w:tcBorders>
              <w:top w:val="nil"/>
              <w:left w:val="nil"/>
              <w:bottom w:val="single" w:sz="4" w:space="0" w:color="C0C0C0"/>
              <w:right w:val="single" w:sz="4" w:space="0" w:color="auto"/>
            </w:tcBorders>
            <w:shd w:val="clear" w:color="auto" w:fill="auto"/>
            <w:noWrap/>
            <w:vAlign w:val="center"/>
            <w:hideMark/>
          </w:tcPr>
          <w:p w14:paraId="6BD7D012"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-2.426.439,60</w:t>
            </w:r>
          </w:p>
        </w:tc>
      </w:tr>
      <w:tr w:rsidR="00EA6933" w:rsidRPr="00EA6933" w14:paraId="297F12BA"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2DB80E8"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 Zadržana dobit</w:t>
            </w:r>
          </w:p>
        </w:tc>
        <w:tc>
          <w:tcPr>
            <w:tcW w:w="691" w:type="dxa"/>
            <w:tcBorders>
              <w:top w:val="nil"/>
              <w:left w:val="nil"/>
              <w:bottom w:val="single" w:sz="4" w:space="0" w:color="C0C0C0"/>
              <w:right w:val="single" w:sz="4" w:space="0" w:color="auto"/>
            </w:tcBorders>
            <w:shd w:val="clear" w:color="auto" w:fill="auto"/>
            <w:noWrap/>
            <w:vAlign w:val="center"/>
            <w:hideMark/>
          </w:tcPr>
          <w:p w14:paraId="69ED3785"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085</w:t>
            </w:r>
          </w:p>
        </w:tc>
        <w:tc>
          <w:tcPr>
            <w:tcW w:w="1685" w:type="dxa"/>
            <w:tcBorders>
              <w:top w:val="nil"/>
              <w:left w:val="nil"/>
              <w:bottom w:val="single" w:sz="4" w:space="0" w:color="C0C0C0"/>
              <w:right w:val="single" w:sz="4" w:space="0" w:color="auto"/>
            </w:tcBorders>
            <w:shd w:val="clear" w:color="auto" w:fill="auto"/>
            <w:noWrap/>
            <w:vAlign w:val="center"/>
            <w:hideMark/>
          </w:tcPr>
          <w:p w14:paraId="4C77D13E"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 </w:t>
            </w:r>
          </w:p>
        </w:tc>
        <w:tc>
          <w:tcPr>
            <w:tcW w:w="1715" w:type="dxa"/>
            <w:tcBorders>
              <w:top w:val="nil"/>
              <w:left w:val="nil"/>
              <w:bottom w:val="single" w:sz="4" w:space="0" w:color="C0C0C0"/>
              <w:right w:val="single" w:sz="4" w:space="0" w:color="auto"/>
            </w:tcBorders>
            <w:shd w:val="clear" w:color="auto" w:fill="auto"/>
            <w:noWrap/>
            <w:vAlign w:val="center"/>
            <w:hideMark/>
          </w:tcPr>
          <w:p w14:paraId="2BA30EE4"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 </w:t>
            </w:r>
          </w:p>
        </w:tc>
      </w:tr>
      <w:tr w:rsidR="00EA6933" w:rsidRPr="00EA6933" w14:paraId="307F853B"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AFE3181"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Preneseni gubitak</w:t>
            </w:r>
          </w:p>
        </w:tc>
        <w:tc>
          <w:tcPr>
            <w:tcW w:w="691" w:type="dxa"/>
            <w:tcBorders>
              <w:top w:val="nil"/>
              <w:left w:val="nil"/>
              <w:bottom w:val="single" w:sz="4" w:space="0" w:color="C0C0C0"/>
              <w:right w:val="single" w:sz="4" w:space="0" w:color="auto"/>
            </w:tcBorders>
            <w:shd w:val="clear" w:color="auto" w:fill="auto"/>
            <w:noWrap/>
            <w:vAlign w:val="center"/>
            <w:hideMark/>
          </w:tcPr>
          <w:p w14:paraId="54BDE3B9"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086</w:t>
            </w:r>
          </w:p>
        </w:tc>
        <w:tc>
          <w:tcPr>
            <w:tcW w:w="1685" w:type="dxa"/>
            <w:tcBorders>
              <w:top w:val="nil"/>
              <w:left w:val="nil"/>
              <w:bottom w:val="single" w:sz="4" w:space="0" w:color="C0C0C0"/>
              <w:right w:val="single" w:sz="4" w:space="0" w:color="auto"/>
            </w:tcBorders>
            <w:shd w:val="clear" w:color="auto" w:fill="auto"/>
            <w:noWrap/>
            <w:vAlign w:val="center"/>
            <w:hideMark/>
          </w:tcPr>
          <w:p w14:paraId="13D6237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2.431.876,37</w:t>
            </w:r>
          </w:p>
        </w:tc>
        <w:tc>
          <w:tcPr>
            <w:tcW w:w="1715" w:type="dxa"/>
            <w:tcBorders>
              <w:top w:val="nil"/>
              <w:left w:val="nil"/>
              <w:bottom w:val="single" w:sz="4" w:space="0" w:color="C0C0C0"/>
              <w:right w:val="single" w:sz="4" w:space="0" w:color="auto"/>
            </w:tcBorders>
            <w:shd w:val="clear" w:color="auto" w:fill="auto"/>
            <w:noWrap/>
            <w:vAlign w:val="center"/>
            <w:hideMark/>
          </w:tcPr>
          <w:p w14:paraId="191AB431"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2.426.439,60</w:t>
            </w:r>
          </w:p>
        </w:tc>
      </w:tr>
      <w:tr w:rsidR="00EA6933" w:rsidRPr="00EA6933" w14:paraId="5F5AB152"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7270293" w14:textId="77777777" w:rsidR="00EA6933" w:rsidRPr="00EA6933" w:rsidRDefault="00EA6933" w:rsidP="00EA6933">
            <w:pPr>
              <w:spacing w:after="0" w:line="240" w:lineRule="auto"/>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VII. DOBIT ILI GUBITAK POSLOVNE GODINE (AOP 088-089)</w:t>
            </w:r>
          </w:p>
        </w:tc>
        <w:tc>
          <w:tcPr>
            <w:tcW w:w="691" w:type="dxa"/>
            <w:tcBorders>
              <w:top w:val="nil"/>
              <w:left w:val="nil"/>
              <w:bottom w:val="single" w:sz="4" w:space="0" w:color="C0C0C0"/>
              <w:right w:val="single" w:sz="4" w:space="0" w:color="auto"/>
            </w:tcBorders>
            <w:shd w:val="clear" w:color="auto" w:fill="auto"/>
            <w:noWrap/>
            <w:vAlign w:val="center"/>
            <w:hideMark/>
          </w:tcPr>
          <w:p w14:paraId="1E9A8896"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087</w:t>
            </w:r>
          </w:p>
        </w:tc>
        <w:tc>
          <w:tcPr>
            <w:tcW w:w="1685" w:type="dxa"/>
            <w:tcBorders>
              <w:top w:val="nil"/>
              <w:left w:val="nil"/>
              <w:bottom w:val="single" w:sz="4" w:space="0" w:color="C0C0C0"/>
              <w:right w:val="single" w:sz="4" w:space="0" w:color="auto"/>
            </w:tcBorders>
            <w:shd w:val="clear" w:color="auto" w:fill="auto"/>
            <w:noWrap/>
            <w:vAlign w:val="center"/>
            <w:hideMark/>
          </w:tcPr>
          <w:p w14:paraId="2976AB66"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5.436,77</w:t>
            </w:r>
          </w:p>
        </w:tc>
        <w:tc>
          <w:tcPr>
            <w:tcW w:w="1715" w:type="dxa"/>
            <w:tcBorders>
              <w:top w:val="nil"/>
              <w:left w:val="nil"/>
              <w:bottom w:val="single" w:sz="4" w:space="0" w:color="C0C0C0"/>
              <w:right w:val="single" w:sz="4" w:space="0" w:color="auto"/>
            </w:tcBorders>
            <w:shd w:val="clear" w:color="auto" w:fill="auto"/>
            <w:noWrap/>
            <w:vAlign w:val="center"/>
            <w:hideMark/>
          </w:tcPr>
          <w:p w14:paraId="489A37C7"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49.566,67</w:t>
            </w:r>
          </w:p>
        </w:tc>
      </w:tr>
      <w:tr w:rsidR="00EA6933" w:rsidRPr="00EA6933" w14:paraId="687532C1"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5518370"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lastRenderedPageBreak/>
              <w:t xml:space="preserve">     1. Dobit poslovne godine</w:t>
            </w:r>
          </w:p>
        </w:tc>
        <w:tc>
          <w:tcPr>
            <w:tcW w:w="691" w:type="dxa"/>
            <w:tcBorders>
              <w:top w:val="nil"/>
              <w:left w:val="nil"/>
              <w:bottom w:val="single" w:sz="4" w:space="0" w:color="C0C0C0"/>
              <w:right w:val="single" w:sz="4" w:space="0" w:color="auto"/>
            </w:tcBorders>
            <w:shd w:val="clear" w:color="auto" w:fill="auto"/>
            <w:noWrap/>
            <w:vAlign w:val="center"/>
            <w:hideMark/>
          </w:tcPr>
          <w:p w14:paraId="132C21B4"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088</w:t>
            </w:r>
          </w:p>
        </w:tc>
        <w:tc>
          <w:tcPr>
            <w:tcW w:w="1685" w:type="dxa"/>
            <w:tcBorders>
              <w:top w:val="nil"/>
              <w:left w:val="nil"/>
              <w:bottom w:val="single" w:sz="4" w:space="0" w:color="C0C0C0"/>
              <w:right w:val="single" w:sz="4" w:space="0" w:color="auto"/>
            </w:tcBorders>
            <w:shd w:val="clear" w:color="auto" w:fill="auto"/>
            <w:noWrap/>
            <w:vAlign w:val="center"/>
            <w:hideMark/>
          </w:tcPr>
          <w:p w14:paraId="1F15AAD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5.436,77</w:t>
            </w:r>
          </w:p>
        </w:tc>
        <w:tc>
          <w:tcPr>
            <w:tcW w:w="1715" w:type="dxa"/>
            <w:tcBorders>
              <w:top w:val="nil"/>
              <w:left w:val="nil"/>
              <w:bottom w:val="single" w:sz="4" w:space="0" w:color="C0C0C0"/>
              <w:right w:val="single" w:sz="4" w:space="0" w:color="auto"/>
            </w:tcBorders>
            <w:shd w:val="clear" w:color="auto" w:fill="auto"/>
            <w:noWrap/>
            <w:vAlign w:val="center"/>
            <w:hideMark/>
          </w:tcPr>
          <w:p w14:paraId="1D47D9A4"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49.566,67</w:t>
            </w:r>
          </w:p>
        </w:tc>
      </w:tr>
      <w:tr w:rsidR="00EA6933" w:rsidRPr="00EA6933" w14:paraId="62EE669E"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3290F92"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Gubitak poslovne godine</w:t>
            </w:r>
          </w:p>
        </w:tc>
        <w:tc>
          <w:tcPr>
            <w:tcW w:w="691" w:type="dxa"/>
            <w:tcBorders>
              <w:top w:val="nil"/>
              <w:left w:val="nil"/>
              <w:bottom w:val="single" w:sz="4" w:space="0" w:color="C0C0C0"/>
              <w:right w:val="single" w:sz="4" w:space="0" w:color="auto"/>
            </w:tcBorders>
            <w:shd w:val="clear" w:color="auto" w:fill="auto"/>
            <w:noWrap/>
            <w:vAlign w:val="center"/>
            <w:hideMark/>
          </w:tcPr>
          <w:p w14:paraId="09473EBE"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089</w:t>
            </w:r>
          </w:p>
        </w:tc>
        <w:tc>
          <w:tcPr>
            <w:tcW w:w="1685" w:type="dxa"/>
            <w:tcBorders>
              <w:top w:val="nil"/>
              <w:left w:val="nil"/>
              <w:bottom w:val="single" w:sz="4" w:space="0" w:color="C0C0C0"/>
              <w:right w:val="single" w:sz="4" w:space="0" w:color="auto"/>
            </w:tcBorders>
            <w:shd w:val="clear" w:color="auto" w:fill="auto"/>
            <w:noWrap/>
            <w:vAlign w:val="center"/>
            <w:hideMark/>
          </w:tcPr>
          <w:p w14:paraId="0D3EA551"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 </w:t>
            </w:r>
          </w:p>
        </w:tc>
        <w:tc>
          <w:tcPr>
            <w:tcW w:w="1715" w:type="dxa"/>
            <w:tcBorders>
              <w:top w:val="nil"/>
              <w:left w:val="nil"/>
              <w:bottom w:val="single" w:sz="4" w:space="0" w:color="C0C0C0"/>
              <w:right w:val="single" w:sz="4" w:space="0" w:color="auto"/>
            </w:tcBorders>
            <w:shd w:val="clear" w:color="auto" w:fill="auto"/>
            <w:noWrap/>
            <w:vAlign w:val="center"/>
            <w:hideMark/>
          </w:tcPr>
          <w:p w14:paraId="3758C0EF"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 </w:t>
            </w:r>
          </w:p>
        </w:tc>
      </w:tr>
      <w:tr w:rsidR="00EA6933" w:rsidRPr="00EA6933" w14:paraId="0F1DB90C"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B035AB5"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B)  REZERVIRANJA </w:t>
            </w:r>
            <w:r w:rsidRPr="00EA6933">
              <w:rPr>
                <w:rFonts w:ascii="Arial" w:eastAsia="Times New Roman" w:hAnsi="Arial" w:cs="Arial"/>
                <w:color w:val="333399"/>
                <w:sz w:val="18"/>
                <w:szCs w:val="18"/>
                <w:lang w:eastAsia="hr-HR"/>
              </w:rPr>
              <w:t>(AOP 092 do 097)</w:t>
            </w:r>
          </w:p>
        </w:tc>
        <w:tc>
          <w:tcPr>
            <w:tcW w:w="691" w:type="dxa"/>
            <w:tcBorders>
              <w:top w:val="nil"/>
              <w:left w:val="nil"/>
              <w:bottom w:val="single" w:sz="4" w:space="0" w:color="C0C0C0"/>
              <w:right w:val="single" w:sz="4" w:space="0" w:color="auto"/>
            </w:tcBorders>
            <w:shd w:val="clear" w:color="auto" w:fill="auto"/>
            <w:noWrap/>
            <w:vAlign w:val="center"/>
            <w:hideMark/>
          </w:tcPr>
          <w:p w14:paraId="4ABBC0DF"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091</w:t>
            </w:r>
          </w:p>
        </w:tc>
        <w:tc>
          <w:tcPr>
            <w:tcW w:w="1685" w:type="dxa"/>
            <w:tcBorders>
              <w:top w:val="nil"/>
              <w:left w:val="nil"/>
              <w:bottom w:val="single" w:sz="4" w:space="0" w:color="C0C0C0"/>
              <w:right w:val="single" w:sz="4" w:space="0" w:color="auto"/>
            </w:tcBorders>
            <w:shd w:val="clear" w:color="auto" w:fill="auto"/>
            <w:noWrap/>
            <w:vAlign w:val="center"/>
            <w:hideMark/>
          </w:tcPr>
          <w:p w14:paraId="1FE3133D"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43.857,90</w:t>
            </w:r>
          </w:p>
        </w:tc>
        <w:tc>
          <w:tcPr>
            <w:tcW w:w="1715" w:type="dxa"/>
            <w:tcBorders>
              <w:top w:val="nil"/>
              <w:left w:val="nil"/>
              <w:bottom w:val="single" w:sz="4" w:space="0" w:color="C0C0C0"/>
              <w:right w:val="single" w:sz="4" w:space="0" w:color="auto"/>
            </w:tcBorders>
            <w:shd w:val="clear" w:color="auto" w:fill="auto"/>
            <w:noWrap/>
            <w:vAlign w:val="center"/>
            <w:hideMark/>
          </w:tcPr>
          <w:p w14:paraId="6565D809"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58.185,59</w:t>
            </w:r>
          </w:p>
        </w:tc>
      </w:tr>
      <w:tr w:rsidR="00EA6933" w:rsidRPr="00EA6933" w14:paraId="116D3DE3"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11583B9"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3. Rezerviranja za započete sudske sporove</w:t>
            </w:r>
          </w:p>
        </w:tc>
        <w:tc>
          <w:tcPr>
            <w:tcW w:w="691" w:type="dxa"/>
            <w:tcBorders>
              <w:top w:val="nil"/>
              <w:left w:val="nil"/>
              <w:bottom w:val="single" w:sz="4" w:space="0" w:color="C0C0C0"/>
              <w:right w:val="single" w:sz="4" w:space="0" w:color="auto"/>
            </w:tcBorders>
            <w:shd w:val="clear" w:color="auto" w:fill="auto"/>
            <w:noWrap/>
            <w:vAlign w:val="center"/>
            <w:hideMark/>
          </w:tcPr>
          <w:p w14:paraId="616B43F8"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094</w:t>
            </w:r>
          </w:p>
        </w:tc>
        <w:tc>
          <w:tcPr>
            <w:tcW w:w="1685" w:type="dxa"/>
            <w:tcBorders>
              <w:top w:val="nil"/>
              <w:left w:val="nil"/>
              <w:bottom w:val="single" w:sz="4" w:space="0" w:color="C0C0C0"/>
              <w:right w:val="single" w:sz="4" w:space="0" w:color="auto"/>
            </w:tcBorders>
            <w:shd w:val="clear" w:color="auto" w:fill="auto"/>
            <w:noWrap/>
            <w:vAlign w:val="center"/>
            <w:hideMark/>
          </w:tcPr>
          <w:p w14:paraId="6B1B735B"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43.857,90</w:t>
            </w:r>
          </w:p>
        </w:tc>
        <w:tc>
          <w:tcPr>
            <w:tcW w:w="1715" w:type="dxa"/>
            <w:tcBorders>
              <w:top w:val="nil"/>
              <w:left w:val="nil"/>
              <w:bottom w:val="single" w:sz="4" w:space="0" w:color="C0C0C0"/>
              <w:right w:val="single" w:sz="4" w:space="0" w:color="auto"/>
            </w:tcBorders>
            <w:shd w:val="clear" w:color="auto" w:fill="auto"/>
            <w:noWrap/>
            <w:vAlign w:val="center"/>
            <w:hideMark/>
          </w:tcPr>
          <w:p w14:paraId="17256A57"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58.185,59</w:t>
            </w:r>
          </w:p>
        </w:tc>
      </w:tr>
      <w:tr w:rsidR="00EA6933" w:rsidRPr="00EA6933" w14:paraId="60334D13"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C028C66"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C)  DUGOROČNE OBVEZE </w:t>
            </w:r>
            <w:r w:rsidRPr="00EA6933">
              <w:rPr>
                <w:rFonts w:ascii="Arial" w:eastAsia="Times New Roman" w:hAnsi="Arial" w:cs="Arial"/>
                <w:color w:val="333399"/>
                <w:sz w:val="18"/>
                <w:szCs w:val="18"/>
                <w:lang w:eastAsia="hr-HR"/>
              </w:rPr>
              <w:t>(AOP 099 do 109)</w:t>
            </w:r>
          </w:p>
        </w:tc>
        <w:tc>
          <w:tcPr>
            <w:tcW w:w="691" w:type="dxa"/>
            <w:tcBorders>
              <w:top w:val="nil"/>
              <w:left w:val="nil"/>
              <w:bottom w:val="single" w:sz="4" w:space="0" w:color="C0C0C0"/>
              <w:right w:val="single" w:sz="4" w:space="0" w:color="auto"/>
            </w:tcBorders>
            <w:shd w:val="clear" w:color="auto" w:fill="auto"/>
            <w:noWrap/>
            <w:vAlign w:val="center"/>
            <w:hideMark/>
          </w:tcPr>
          <w:p w14:paraId="18D1047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098</w:t>
            </w:r>
          </w:p>
        </w:tc>
        <w:tc>
          <w:tcPr>
            <w:tcW w:w="1685" w:type="dxa"/>
            <w:tcBorders>
              <w:top w:val="nil"/>
              <w:left w:val="nil"/>
              <w:bottom w:val="single" w:sz="4" w:space="0" w:color="C0C0C0"/>
              <w:right w:val="single" w:sz="4" w:space="0" w:color="auto"/>
            </w:tcBorders>
            <w:shd w:val="clear" w:color="auto" w:fill="auto"/>
            <w:noWrap/>
            <w:vAlign w:val="center"/>
            <w:hideMark/>
          </w:tcPr>
          <w:p w14:paraId="25A41F4C"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802.875,27</w:t>
            </w:r>
          </w:p>
        </w:tc>
        <w:tc>
          <w:tcPr>
            <w:tcW w:w="1715" w:type="dxa"/>
            <w:tcBorders>
              <w:top w:val="nil"/>
              <w:left w:val="nil"/>
              <w:bottom w:val="single" w:sz="4" w:space="0" w:color="C0C0C0"/>
              <w:right w:val="single" w:sz="4" w:space="0" w:color="auto"/>
            </w:tcBorders>
            <w:shd w:val="clear" w:color="auto" w:fill="auto"/>
            <w:noWrap/>
            <w:vAlign w:val="center"/>
            <w:hideMark/>
          </w:tcPr>
          <w:p w14:paraId="24515B96"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1.701.167,80</w:t>
            </w:r>
          </w:p>
        </w:tc>
      </w:tr>
      <w:tr w:rsidR="00EA6933" w:rsidRPr="00EA6933" w14:paraId="4894EE9D"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1575BF0"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6. Obveze prema bankama i drugim financijskim institucijama</w:t>
            </w:r>
          </w:p>
        </w:tc>
        <w:tc>
          <w:tcPr>
            <w:tcW w:w="691" w:type="dxa"/>
            <w:tcBorders>
              <w:top w:val="nil"/>
              <w:left w:val="nil"/>
              <w:bottom w:val="single" w:sz="4" w:space="0" w:color="C0C0C0"/>
              <w:right w:val="single" w:sz="4" w:space="0" w:color="auto"/>
            </w:tcBorders>
            <w:shd w:val="clear" w:color="auto" w:fill="auto"/>
            <w:noWrap/>
            <w:vAlign w:val="center"/>
            <w:hideMark/>
          </w:tcPr>
          <w:p w14:paraId="1F6EF5C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104</w:t>
            </w:r>
          </w:p>
        </w:tc>
        <w:tc>
          <w:tcPr>
            <w:tcW w:w="1685" w:type="dxa"/>
            <w:tcBorders>
              <w:top w:val="nil"/>
              <w:left w:val="nil"/>
              <w:bottom w:val="single" w:sz="4" w:space="0" w:color="C0C0C0"/>
              <w:right w:val="single" w:sz="4" w:space="0" w:color="auto"/>
            </w:tcBorders>
            <w:shd w:val="clear" w:color="auto" w:fill="auto"/>
            <w:noWrap/>
            <w:vAlign w:val="center"/>
            <w:hideMark/>
          </w:tcPr>
          <w:p w14:paraId="7ED6D8B5"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801.269,11</w:t>
            </w:r>
          </w:p>
        </w:tc>
        <w:tc>
          <w:tcPr>
            <w:tcW w:w="1715" w:type="dxa"/>
            <w:tcBorders>
              <w:top w:val="nil"/>
              <w:left w:val="nil"/>
              <w:bottom w:val="single" w:sz="4" w:space="0" w:color="C0C0C0"/>
              <w:right w:val="single" w:sz="4" w:space="0" w:color="auto"/>
            </w:tcBorders>
            <w:shd w:val="clear" w:color="auto" w:fill="auto"/>
            <w:noWrap/>
            <w:vAlign w:val="center"/>
            <w:hideMark/>
          </w:tcPr>
          <w:p w14:paraId="134491AA"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1.700.016,68</w:t>
            </w:r>
          </w:p>
        </w:tc>
      </w:tr>
      <w:tr w:rsidR="00EA6933" w:rsidRPr="00EA6933" w14:paraId="1586D8E6"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D8E233D"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10. Ostale dugoročne obveze</w:t>
            </w:r>
          </w:p>
        </w:tc>
        <w:tc>
          <w:tcPr>
            <w:tcW w:w="691" w:type="dxa"/>
            <w:tcBorders>
              <w:top w:val="nil"/>
              <w:left w:val="nil"/>
              <w:bottom w:val="single" w:sz="4" w:space="0" w:color="C0C0C0"/>
              <w:right w:val="single" w:sz="4" w:space="0" w:color="auto"/>
            </w:tcBorders>
            <w:shd w:val="clear" w:color="auto" w:fill="auto"/>
            <w:noWrap/>
            <w:vAlign w:val="center"/>
            <w:hideMark/>
          </w:tcPr>
          <w:p w14:paraId="60EAC269"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108</w:t>
            </w:r>
          </w:p>
        </w:tc>
        <w:tc>
          <w:tcPr>
            <w:tcW w:w="1685" w:type="dxa"/>
            <w:tcBorders>
              <w:top w:val="nil"/>
              <w:left w:val="nil"/>
              <w:bottom w:val="single" w:sz="4" w:space="0" w:color="C0C0C0"/>
              <w:right w:val="single" w:sz="4" w:space="0" w:color="auto"/>
            </w:tcBorders>
            <w:shd w:val="clear" w:color="auto" w:fill="auto"/>
            <w:noWrap/>
            <w:vAlign w:val="center"/>
            <w:hideMark/>
          </w:tcPr>
          <w:p w14:paraId="29311B86"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1.606,16</w:t>
            </w:r>
          </w:p>
        </w:tc>
        <w:tc>
          <w:tcPr>
            <w:tcW w:w="1715" w:type="dxa"/>
            <w:tcBorders>
              <w:top w:val="nil"/>
              <w:left w:val="nil"/>
              <w:bottom w:val="single" w:sz="4" w:space="0" w:color="C0C0C0"/>
              <w:right w:val="single" w:sz="4" w:space="0" w:color="auto"/>
            </w:tcBorders>
            <w:shd w:val="clear" w:color="auto" w:fill="auto"/>
            <w:noWrap/>
            <w:vAlign w:val="center"/>
            <w:hideMark/>
          </w:tcPr>
          <w:p w14:paraId="5BF9B44D"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1.151,12</w:t>
            </w:r>
          </w:p>
        </w:tc>
      </w:tr>
      <w:tr w:rsidR="00EA6933" w:rsidRPr="00EA6933" w14:paraId="17270B5E"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92CFEF9"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D)  KRATKOROČNE OBVEZE </w:t>
            </w:r>
            <w:r w:rsidRPr="00EA6933">
              <w:rPr>
                <w:rFonts w:ascii="Arial" w:eastAsia="Times New Roman" w:hAnsi="Arial" w:cs="Arial"/>
                <w:color w:val="333399"/>
                <w:sz w:val="18"/>
                <w:szCs w:val="18"/>
                <w:lang w:eastAsia="hr-HR"/>
              </w:rPr>
              <w:t>(AOP 111 do 124)</w:t>
            </w:r>
          </w:p>
        </w:tc>
        <w:tc>
          <w:tcPr>
            <w:tcW w:w="691" w:type="dxa"/>
            <w:tcBorders>
              <w:top w:val="nil"/>
              <w:left w:val="nil"/>
              <w:bottom w:val="single" w:sz="4" w:space="0" w:color="C0C0C0"/>
              <w:right w:val="single" w:sz="4" w:space="0" w:color="auto"/>
            </w:tcBorders>
            <w:shd w:val="clear" w:color="auto" w:fill="auto"/>
            <w:noWrap/>
            <w:vAlign w:val="center"/>
            <w:hideMark/>
          </w:tcPr>
          <w:p w14:paraId="4E3E9B4E"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110</w:t>
            </w:r>
          </w:p>
        </w:tc>
        <w:tc>
          <w:tcPr>
            <w:tcW w:w="1685" w:type="dxa"/>
            <w:tcBorders>
              <w:top w:val="nil"/>
              <w:left w:val="nil"/>
              <w:bottom w:val="single" w:sz="4" w:space="0" w:color="C0C0C0"/>
              <w:right w:val="single" w:sz="4" w:space="0" w:color="auto"/>
            </w:tcBorders>
            <w:shd w:val="clear" w:color="auto" w:fill="auto"/>
            <w:noWrap/>
            <w:vAlign w:val="center"/>
            <w:hideMark/>
          </w:tcPr>
          <w:p w14:paraId="52D8DB1F"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3.046.100,38</w:t>
            </w:r>
          </w:p>
        </w:tc>
        <w:tc>
          <w:tcPr>
            <w:tcW w:w="1715" w:type="dxa"/>
            <w:tcBorders>
              <w:top w:val="nil"/>
              <w:left w:val="nil"/>
              <w:bottom w:val="single" w:sz="4" w:space="0" w:color="C0C0C0"/>
              <w:right w:val="single" w:sz="4" w:space="0" w:color="auto"/>
            </w:tcBorders>
            <w:shd w:val="clear" w:color="auto" w:fill="auto"/>
            <w:noWrap/>
            <w:vAlign w:val="center"/>
            <w:hideMark/>
          </w:tcPr>
          <w:p w14:paraId="645B21A8"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4.333.009,41</w:t>
            </w:r>
          </w:p>
        </w:tc>
      </w:tr>
      <w:tr w:rsidR="00EA6933" w:rsidRPr="00EA6933" w14:paraId="3B86C435"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7768A20"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5. Obveze za zajmove, depozite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799DDD6A"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115</w:t>
            </w:r>
          </w:p>
        </w:tc>
        <w:tc>
          <w:tcPr>
            <w:tcW w:w="1685" w:type="dxa"/>
            <w:tcBorders>
              <w:top w:val="nil"/>
              <w:left w:val="nil"/>
              <w:bottom w:val="single" w:sz="4" w:space="0" w:color="C0C0C0"/>
              <w:right w:val="single" w:sz="4" w:space="0" w:color="auto"/>
            </w:tcBorders>
            <w:shd w:val="clear" w:color="auto" w:fill="auto"/>
            <w:noWrap/>
            <w:vAlign w:val="center"/>
            <w:hideMark/>
          </w:tcPr>
          <w:p w14:paraId="38442C0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14.549,31</w:t>
            </w:r>
          </w:p>
        </w:tc>
        <w:tc>
          <w:tcPr>
            <w:tcW w:w="1715" w:type="dxa"/>
            <w:tcBorders>
              <w:top w:val="nil"/>
              <w:left w:val="nil"/>
              <w:bottom w:val="single" w:sz="4" w:space="0" w:color="C0C0C0"/>
              <w:right w:val="single" w:sz="4" w:space="0" w:color="auto"/>
            </w:tcBorders>
            <w:shd w:val="clear" w:color="auto" w:fill="auto"/>
            <w:noWrap/>
            <w:vAlign w:val="center"/>
            <w:hideMark/>
          </w:tcPr>
          <w:p w14:paraId="2A593659"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15.000,02</w:t>
            </w:r>
          </w:p>
        </w:tc>
      </w:tr>
      <w:tr w:rsidR="00EA6933" w:rsidRPr="00EA6933" w14:paraId="295B410E"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C21F0DB"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6. Obveze prema bankama i drugim financijskim institucijama</w:t>
            </w:r>
          </w:p>
        </w:tc>
        <w:tc>
          <w:tcPr>
            <w:tcW w:w="691" w:type="dxa"/>
            <w:tcBorders>
              <w:top w:val="nil"/>
              <w:left w:val="nil"/>
              <w:bottom w:val="single" w:sz="4" w:space="0" w:color="C0C0C0"/>
              <w:right w:val="single" w:sz="4" w:space="0" w:color="auto"/>
            </w:tcBorders>
            <w:shd w:val="clear" w:color="auto" w:fill="auto"/>
            <w:noWrap/>
            <w:vAlign w:val="center"/>
            <w:hideMark/>
          </w:tcPr>
          <w:p w14:paraId="7D21E5F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116</w:t>
            </w:r>
          </w:p>
        </w:tc>
        <w:tc>
          <w:tcPr>
            <w:tcW w:w="1685" w:type="dxa"/>
            <w:tcBorders>
              <w:top w:val="nil"/>
              <w:left w:val="nil"/>
              <w:bottom w:val="single" w:sz="4" w:space="0" w:color="C0C0C0"/>
              <w:right w:val="single" w:sz="4" w:space="0" w:color="auto"/>
            </w:tcBorders>
            <w:shd w:val="clear" w:color="auto" w:fill="auto"/>
            <w:noWrap/>
            <w:vAlign w:val="center"/>
            <w:hideMark/>
          </w:tcPr>
          <w:p w14:paraId="187FF77F"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1.199.730,70</w:t>
            </w:r>
          </w:p>
        </w:tc>
        <w:tc>
          <w:tcPr>
            <w:tcW w:w="1715" w:type="dxa"/>
            <w:tcBorders>
              <w:top w:val="nil"/>
              <w:left w:val="nil"/>
              <w:bottom w:val="single" w:sz="4" w:space="0" w:color="C0C0C0"/>
              <w:right w:val="single" w:sz="4" w:space="0" w:color="auto"/>
            </w:tcBorders>
            <w:shd w:val="clear" w:color="auto" w:fill="auto"/>
            <w:noWrap/>
            <w:vAlign w:val="center"/>
            <w:hideMark/>
          </w:tcPr>
          <w:p w14:paraId="0046709F"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1.106.010,70</w:t>
            </w:r>
          </w:p>
        </w:tc>
      </w:tr>
      <w:tr w:rsidR="00EA6933" w:rsidRPr="00EA6933" w14:paraId="6EC57924"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3D72220"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8. Obveze prema dobavljačima</w:t>
            </w:r>
          </w:p>
        </w:tc>
        <w:tc>
          <w:tcPr>
            <w:tcW w:w="691" w:type="dxa"/>
            <w:tcBorders>
              <w:top w:val="nil"/>
              <w:left w:val="nil"/>
              <w:bottom w:val="single" w:sz="4" w:space="0" w:color="C0C0C0"/>
              <w:right w:val="single" w:sz="4" w:space="0" w:color="auto"/>
            </w:tcBorders>
            <w:shd w:val="clear" w:color="auto" w:fill="auto"/>
            <w:noWrap/>
            <w:vAlign w:val="center"/>
            <w:hideMark/>
          </w:tcPr>
          <w:p w14:paraId="6F44CD5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118</w:t>
            </w:r>
          </w:p>
        </w:tc>
        <w:tc>
          <w:tcPr>
            <w:tcW w:w="1685" w:type="dxa"/>
            <w:tcBorders>
              <w:top w:val="nil"/>
              <w:left w:val="nil"/>
              <w:bottom w:val="single" w:sz="4" w:space="0" w:color="C0C0C0"/>
              <w:right w:val="single" w:sz="4" w:space="0" w:color="auto"/>
            </w:tcBorders>
            <w:shd w:val="clear" w:color="auto" w:fill="auto"/>
            <w:noWrap/>
            <w:vAlign w:val="center"/>
            <w:hideMark/>
          </w:tcPr>
          <w:p w14:paraId="3D86406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1.327.643,71</w:t>
            </w:r>
          </w:p>
        </w:tc>
        <w:tc>
          <w:tcPr>
            <w:tcW w:w="1715" w:type="dxa"/>
            <w:tcBorders>
              <w:top w:val="nil"/>
              <w:left w:val="nil"/>
              <w:bottom w:val="single" w:sz="4" w:space="0" w:color="C0C0C0"/>
              <w:right w:val="single" w:sz="4" w:space="0" w:color="auto"/>
            </w:tcBorders>
            <w:shd w:val="clear" w:color="auto" w:fill="auto"/>
            <w:noWrap/>
            <w:vAlign w:val="center"/>
            <w:hideMark/>
          </w:tcPr>
          <w:p w14:paraId="62624387"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2.564.683,63</w:t>
            </w:r>
          </w:p>
        </w:tc>
      </w:tr>
      <w:tr w:rsidR="00EA6933" w:rsidRPr="00EA6933" w14:paraId="0011806C"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925E407"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10. Obveze prema zaposlenicima</w:t>
            </w:r>
          </w:p>
        </w:tc>
        <w:tc>
          <w:tcPr>
            <w:tcW w:w="691" w:type="dxa"/>
            <w:tcBorders>
              <w:top w:val="nil"/>
              <w:left w:val="nil"/>
              <w:bottom w:val="single" w:sz="4" w:space="0" w:color="C0C0C0"/>
              <w:right w:val="single" w:sz="4" w:space="0" w:color="auto"/>
            </w:tcBorders>
            <w:shd w:val="clear" w:color="auto" w:fill="auto"/>
            <w:noWrap/>
            <w:vAlign w:val="center"/>
            <w:hideMark/>
          </w:tcPr>
          <w:p w14:paraId="2DA9973E"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120</w:t>
            </w:r>
          </w:p>
        </w:tc>
        <w:tc>
          <w:tcPr>
            <w:tcW w:w="1685" w:type="dxa"/>
            <w:tcBorders>
              <w:top w:val="nil"/>
              <w:left w:val="nil"/>
              <w:bottom w:val="single" w:sz="4" w:space="0" w:color="C0C0C0"/>
              <w:right w:val="single" w:sz="4" w:space="0" w:color="auto"/>
            </w:tcBorders>
            <w:shd w:val="clear" w:color="auto" w:fill="auto"/>
            <w:noWrap/>
            <w:vAlign w:val="center"/>
            <w:hideMark/>
          </w:tcPr>
          <w:p w14:paraId="5E1BEFED"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385.799,11</w:t>
            </w:r>
          </w:p>
        </w:tc>
        <w:tc>
          <w:tcPr>
            <w:tcW w:w="1715" w:type="dxa"/>
            <w:tcBorders>
              <w:top w:val="nil"/>
              <w:left w:val="nil"/>
              <w:bottom w:val="single" w:sz="4" w:space="0" w:color="C0C0C0"/>
              <w:right w:val="single" w:sz="4" w:space="0" w:color="auto"/>
            </w:tcBorders>
            <w:shd w:val="clear" w:color="auto" w:fill="auto"/>
            <w:noWrap/>
            <w:vAlign w:val="center"/>
            <w:hideMark/>
          </w:tcPr>
          <w:p w14:paraId="70D03F1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519.759,85</w:t>
            </w:r>
          </w:p>
        </w:tc>
      </w:tr>
      <w:tr w:rsidR="00EA6933" w:rsidRPr="00EA6933" w14:paraId="4F9CCC58"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A7856B9"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11. Obveze  za poreze, doprinose i slična davanja</w:t>
            </w:r>
          </w:p>
        </w:tc>
        <w:tc>
          <w:tcPr>
            <w:tcW w:w="691" w:type="dxa"/>
            <w:tcBorders>
              <w:top w:val="nil"/>
              <w:left w:val="nil"/>
              <w:bottom w:val="single" w:sz="4" w:space="0" w:color="C0C0C0"/>
              <w:right w:val="single" w:sz="4" w:space="0" w:color="auto"/>
            </w:tcBorders>
            <w:shd w:val="clear" w:color="auto" w:fill="auto"/>
            <w:noWrap/>
            <w:vAlign w:val="center"/>
            <w:hideMark/>
          </w:tcPr>
          <w:p w14:paraId="35A3C67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121</w:t>
            </w:r>
          </w:p>
        </w:tc>
        <w:tc>
          <w:tcPr>
            <w:tcW w:w="1685" w:type="dxa"/>
            <w:tcBorders>
              <w:top w:val="nil"/>
              <w:left w:val="nil"/>
              <w:bottom w:val="single" w:sz="4" w:space="0" w:color="C0C0C0"/>
              <w:right w:val="single" w:sz="4" w:space="0" w:color="auto"/>
            </w:tcBorders>
            <w:shd w:val="clear" w:color="auto" w:fill="auto"/>
            <w:noWrap/>
            <w:vAlign w:val="center"/>
            <w:hideMark/>
          </w:tcPr>
          <w:p w14:paraId="67024AE7"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57.375,37</w:t>
            </w:r>
          </w:p>
        </w:tc>
        <w:tc>
          <w:tcPr>
            <w:tcW w:w="1715" w:type="dxa"/>
            <w:tcBorders>
              <w:top w:val="nil"/>
              <w:left w:val="nil"/>
              <w:bottom w:val="single" w:sz="4" w:space="0" w:color="C0C0C0"/>
              <w:right w:val="single" w:sz="4" w:space="0" w:color="auto"/>
            </w:tcBorders>
            <w:shd w:val="clear" w:color="auto" w:fill="auto"/>
            <w:noWrap/>
            <w:vAlign w:val="center"/>
            <w:hideMark/>
          </w:tcPr>
          <w:p w14:paraId="5E00612C"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79.153,63</w:t>
            </w:r>
          </w:p>
        </w:tc>
      </w:tr>
      <w:tr w:rsidR="00EA6933" w:rsidRPr="00EA6933" w14:paraId="5842CDD8"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811E300"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14. Ostale kratkoročne obveze</w:t>
            </w:r>
          </w:p>
        </w:tc>
        <w:tc>
          <w:tcPr>
            <w:tcW w:w="691" w:type="dxa"/>
            <w:tcBorders>
              <w:top w:val="nil"/>
              <w:left w:val="nil"/>
              <w:bottom w:val="single" w:sz="4" w:space="0" w:color="C0C0C0"/>
              <w:right w:val="single" w:sz="4" w:space="0" w:color="auto"/>
            </w:tcBorders>
            <w:shd w:val="clear" w:color="auto" w:fill="auto"/>
            <w:noWrap/>
            <w:vAlign w:val="center"/>
            <w:hideMark/>
          </w:tcPr>
          <w:p w14:paraId="713E590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124</w:t>
            </w:r>
          </w:p>
        </w:tc>
        <w:tc>
          <w:tcPr>
            <w:tcW w:w="1685" w:type="dxa"/>
            <w:tcBorders>
              <w:top w:val="nil"/>
              <w:left w:val="nil"/>
              <w:bottom w:val="single" w:sz="4" w:space="0" w:color="C0C0C0"/>
              <w:right w:val="single" w:sz="4" w:space="0" w:color="auto"/>
            </w:tcBorders>
            <w:shd w:val="clear" w:color="auto" w:fill="auto"/>
            <w:noWrap/>
            <w:vAlign w:val="center"/>
            <w:hideMark/>
          </w:tcPr>
          <w:p w14:paraId="7FE96BAD"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61.002,18</w:t>
            </w:r>
          </w:p>
        </w:tc>
        <w:tc>
          <w:tcPr>
            <w:tcW w:w="1715" w:type="dxa"/>
            <w:tcBorders>
              <w:top w:val="nil"/>
              <w:left w:val="nil"/>
              <w:bottom w:val="single" w:sz="4" w:space="0" w:color="C0C0C0"/>
              <w:right w:val="single" w:sz="4" w:space="0" w:color="auto"/>
            </w:tcBorders>
            <w:shd w:val="clear" w:color="auto" w:fill="auto"/>
            <w:noWrap/>
            <w:vAlign w:val="center"/>
            <w:hideMark/>
          </w:tcPr>
          <w:p w14:paraId="38D4D6D7"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48.401,58</w:t>
            </w:r>
          </w:p>
        </w:tc>
      </w:tr>
      <w:tr w:rsidR="00EA6933" w:rsidRPr="00EA6933" w14:paraId="0138DEAB" w14:textId="77777777" w:rsidTr="00A853FC">
        <w:trPr>
          <w:trHeight w:val="498"/>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5DFCC36"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E) ODGOĐENO PLAĆANJE TROŠKOVA I PRIHOD BUDUĆEGA</w:t>
            </w:r>
            <w:r w:rsidRPr="00EA6933">
              <w:rPr>
                <w:rFonts w:ascii="Arial" w:eastAsia="Times New Roman" w:hAnsi="Arial" w:cs="Arial"/>
                <w:b/>
                <w:bCs/>
                <w:color w:val="333399"/>
                <w:sz w:val="18"/>
                <w:szCs w:val="18"/>
                <w:lang w:eastAsia="hr-HR"/>
              </w:rPr>
              <w:br/>
              <w:t xml:space="preserve">     RAZDOBLJA</w:t>
            </w:r>
          </w:p>
        </w:tc>
        <w:tc>
          <w:tcPr>
            <w:tcW w:w="691" w:type="dxa"/>
            <w:tcBorders>
              <w:top w:val="nil"/>
              <w:left w:val="nil"/>
              <w:bottom w:val="single" w:sz="4" w:space="0" w:color="C0C0C0"/>
              <w:right w:val="single" w:sz="4" w:space="0" w:color="auto"/>
            </w:tcBorders>
            <w:shd w:val="clear" w:color="auto" w:fill="auto"/>
            <w:noWrap/>
            <w:vAlign w:val="center"/>
            <w:hideMark/>
          </w:tcPr>
          <w:p w14:paraId="45A9E6F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125</w:t>
            </w:r>
          </w:p>
        </w:tc>
        <w:tc>
          <w:tcPr>
            <w:tcW w:w="1685" w:type="dxa"/>
            <w:tcBorders>
              <w:top w:val="nil"/>
              <w:left w:val="nil"/>
              <w:bottom w:val="single" w:sz="4" w:space="0" w:color="C0C0C0"/>
              <w:right w:val="single" w:sz="4" w:space="0" w:color="auto"/>
            </w:tcBorders>
            <w:shd w:val="clear" w:color="auto" w:fill="auto"/>
            <w:noWrap/>
            <w:vAlign w:val="center"/>
            <w:hideMark/>
          </w:tcPr>
          <w:p w14:paraId="220D95A7"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2.524.132,74</w:t>
            </w:r>
          </w:p>
        </w:tc>
        <w:tc>
          <w:tcPr>
            <w:tcW w:w="1715" w:type="dxa"/>
            <w:tcBorders>
              <w:top w:val="nil"/>
              <w:left w:val="nil"/>
              <w:bottom w:val="single" w:sz="4" w:space="0" w:color="C0C0C0"/>
              <w:right w:val="single" w:sz="4" w:space="0" w:color="auto"/>
            </w:tcBorders>
            <w:shd w:val="clear" w:color="auto" w:fill="auto"/>
            <w:noWrap/>
            <w:vAlign w:val="center"/>
            <w:hideMark/>
          </w:tcPr>
          <w:p w14:paraId="7E32E2EF"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2.813.331,80</w:t>
            </w:r>
          </w:p>
        </w:tc>
      </w:tr>
      <w:tr w:rsidR="00EA6933" w:rsidRPr="00EA6933" w14:paraId="0B1CF0D3" w14:textId="77777777" w:rsidTr="00A853FC">
        <w:trPr>
          <w:trHeight w:val="282"/>
          <w:jc w:val="center"/>
        </w:trPr>
        <w:tc>
          <w:tcPr>
            <w:tcW w:w="5699"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DC2F2B3"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F) UKUPNO – PASIVA </w:t>
            </w:r>
            <w:r w:rsidRPr="00EA6933">
              <w:rPr>
                <w:rFonts w:ascii="Arial" w:eastAsia="Times New Roman" w:hAnsi="Arial" w:cs="Arial"/>
                <w:color w:val="333399"/>
                <w:sz w:val="18"/>
                <w:szCs w:val="18"/>
                <w:lang w:eastAsia="hr-HR"/>
              </w:rPr>
              <w:t>(AOP 067+091+098+110+125)</w:t>
            </w:r>
          </w:p>
        </w:tc>
        <w:tc>
          <w:tcPr>
            <w:tcW w:w="691" w:type="dxa"/>
            <w:tcBorders>
              <w:top w:val="nil"/>
              <w:left w:val="nil"/>
              <w:bottom w:val="single" w:sz="4" w:space="0" w:color="C0C0C0"/>
              <w:right w:val="single" w:sz="4" w:space="0" w:color="auto"/>
            </w:tcBorders>
            <w:shd w:val="clear" w:color="auto" w:fill="auto"/>
            <w:noWrap/>
            <w:vAlign w:val="center"/>
            <w:hideMark/>
          </w:tcPr>
          <w:p w14:paraId="3AE5C02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126</w:t>
            </w:r>
          </w:p>
        </w:tc>
        <w:tc>
          <w:tcPr>
            <w:tcW w:w="1685" w:type="dxa"/>
            <w:tcBorders>
              <w:top w:val="nil"/>
              <w:left w:val="nil"/>
              <w:bottom w:val="single" w:sz="4" w:space="0" w:color="C0C0C0"/>
              <w:right w:val="single" w:sz="4" w:space="0" w:color="auto"/>
            </w:tcBorders>
            <w:shd w:val="clear" w:color="auto" w:fill="auto"/>
            <w:noWrap/>
            <w:vAlign w:val="center"/>
            <w:hideMark/>
          </w:tcPr>
          <w:p w14:paraId="1B09789A"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12.105.596,20</w:t>
            </w:r>
          </w:p>
        </w:tc>
        <w:tc>
          <w:tcPr>
            <w:tcW w:w="1715" w:type="dxa"/>
            <w:tcBorders>
              <w:top w:val="nil"/>
              <w:left w:val="nil"/>
              <w:bottom w:val="single" w:sz="4" w:space="0" w:color="C0C0C0"/>
              <w:right w:val="single" w:sz="4" w:space="0" w:color="auto"/>
            </w:tcBorders>
            <w:shd w:val="clear" w:color="auto" w:fill="auto"/>
            <w:noWrap/>
            <w:vAlign w:val="center"/>
            <w:hideMark/>
          </w:tcPr>
          <w:p w14:paraId="55647D04" w14:textId="77777777" w:rsidR="00EA6933" w:rsidRPr="00EA6933" w:rsidRDefault="00EA6933" w:rsidP="00EA6933">
            <w:pPr>
              <w:spacing w:after="0" w:line="240" w:lineRule="auto"/>
              <w:jc w:val="right"/>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14.643.891,18</w:t>
            </w:r>
          </w:p>
        </w:tc>
      </w:tr>
      <w:tr w:rsidR="00EA6933" w:rsidRPr="00EA6933" w14:paraId="0A8F00B2" w14:textId="77777777" w:rsidTr="00A853FC">
        <w:trPr>
          <w:trHeight w:val="282"/>
          <w:jc w:val="center"/>
        </w:trPr>
        <w:tc>
          <w:tcPr>
            <w:tcW w:w="5699"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704F977B"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G)  IZVANBILANČNI ZAPISI</w:t>
            </w:r>
          </w:p>
        </w:tc>
        <w:tc>
          <w:tcPr>
            <w:tcW w:w="691" w:type="dxa"/>
            <w:tcBorders>
              <w:top w:val="nil"/>
              <w:left w:val="nil"/>
              <w:bottom w:val="single" w:sz="4" w:space="0" w:color="auto"/>
              <w:right w:val="single" w:sz="4" w:space="0" w:color="auto"/>
            </w:tcBorders>
            <w:shd w:val="clear" w:color="auto" w:fill="auto"/>
            <w:noWrap/>
            <w:vAlign w:val="center"/>
            <w:hideMark/>
          </w:tcPr>
          <w:p w14:paraId="387338CE"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127</w:t>
            </w:r>
          </w:p>
        </w:tc>
        <w:tc>
          <w:tcPr>
            <w:tcW w:w="1685" w:type="dxa"/>
            <w:tcBorders>
              <w:top w:val="nil"/>
              <w:left w:val="nil"/>
              <w:bottom w:val="single" w:sz="4" w:space="0" w:color="auto"/>
              <w:right w:val="single" w:sz="4" w:space="0" w:color="auto"/>
            </w:tcBorders>
            <w:shd w:val="clear" w:color="auto" w:fill="auto"/>
            <w:noWrap/>
            <w:vAlign w:val="center"/>
            <w:hideMark/>
          </w:tcPr>
          <w:p w14:paraId="3756F8B3"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14.303.451,90</w:t>
            </w:r>
          </w:p>
        </w:tc>
        <w:tc>
          <w:tcPr>
            <w:tcW w:w="1715" w:type="dxa"/>
            <w:tcBorders>
              <w:top w:val="nil"/>
              <w:left w:val="nil"/>
              <w:bottom w:val="single" w:sz="4" w:space="0" w:color="auto"/>
              <w:right w:val="single" w:sz="4" w:space="0" w:color="auto"/>
            </w:tcBorders>
            <w:shd w:val="clear" w:color="auto" w:fill="auto"/>
            <w:noWrap/>
            <w:vAlign w:val="center"/>
            <w:hideMark/>
          </w:tcPr>
          <w:p w14:paraId="1E8FB7E8" w14:textId="77777777" w:rsidR="00EA6933" w:rsidRPr="00EA6933" w:rsidRDefault="00EA6933" w:rsidP="00EA6933">
            <w:pPr>
              <w:spacing w:after="0" w:line="240" w:lineRule="auto"/>
              <w:jc w:val="right"/>
              <w:rPr>
                <w:rFonts w:ascii="Arial" w:eastAsia="Times New Roman" w:hAnsi="Arial" w:cs="Arial"/>
                <w:sz w:val="18"/>
                <w:szCs w:val="18"/>
                <w:lang w:eastAsia="hr-HR"/>
              </w:rPr>
            </w:pPr>
            <w:r w:rsidRPr="00EA6933">
              <w:rPr>
                <w:rFonts w:ascii="Arial" w:eastAsia="Times New Roman" w:hAnsi="Arial" w:cs="Arial"/>
                <w:sz w:val="18"/>
                <w:szCs w:val="18"/>
                <w:lang w:eastAsia="hr-HR"/>
              </w:rPr>
              <w:t>15.753.664,16</w:t>
            </w:r>
          </w:p>
        </w:tc>
      </w:tr>
    </w:tbl>
    <w:p w14:paraId="2B1A7618" w14:textId="77777777" w:rsidR="00EA6933" w:rsidRPr="00EA6933" w:rsidRDefault="00EA6933" w:rsidP="007356C2">
      <w:pPr>
        <w:numPr>
          <w:ilvl w:val="1"/>
          <w:numId w:val="20"/>
        </w:numPr>
        <w:spacing w:before="240" w:after="120" w:line="276" w:lineRule="auto"/>
        <w:jc w:val="both"/>
        <w:rPr>
          <w:rFonts w:ascii="Arial" w:eastAsia="Times New Roman" w:hAnsi="Arial" w:cs="Arial"/>
          <w:b/>
          <w:bCs/>
          <w:sz w:val="24"/>
          <w:szCs w:val="24"/>
        </w:rPr>
      </w:pPr>
      <w:r w:rsidRPr="00EA6933">
        <w:rPr>
          <w:rFonts w:ascii="Arial" w:eastAsia="Times New Roman" w:hAnsi="Arial" w:cs="Arial"/>
          <w:b/>
          <w:bCs/>
          <w:sz w:val="24"/>
          <w:szCs w:val="24"/>
        </w:rPr>
        <w:t>RAČUN DOBITI I GUBITKA</w:t>
      </w:r>
    </w:p>
    <w:p w14:paraId="313150DC" w14:textId="77777777" w:rsidR="00EA6933" w:rsidRPr="00EA6933" w:rsidRDefault="00EA6933" w:rsidP="00EA6933">
      <w:pPr>
        <w:keepNext/>
        <w:spacing w:after="120" w:line="240" w:lineRule="auto"/>
        <w:rPr>
          <w:rFonts w:ascii="Arial" w:eastAsia="Times New Roman" w:hAnsi="Arial" w:cs="Arial"/>
          <w:b/>
          <w:spacing w:val="10"/>
          <w:sz w:val="20"/>
          <w:szCs w:val="20"/>
        </w:rPr>
      </w:pPr>
      <w:r w:rsidRPr="00EA6933">
        <w:rPr>
          <w:rFonts w:ascii="Arial" w:eastAsia="Times New Roman" w:hAnsi="Arial" w:cs="Arial"/>
          <w:b/>
          <w:spacing w:val="10"/>
          <w:sz w:val="20"/>
          <w:szCs w:val="20"/>
        </w:rPr>
        <w:t>Tablica 3. Račun dobiti i gubitka za razdoblje 1.1. – 31.12.2024. godine</w:t>
      </w:r>
    </w:p>
    <w:tbl>
      <w:tblPr>
        <w:tblW w:w="9493" w:type="dxa"/>
        <w:tblLook w:val="04A0" w:firstRow="1" w:lastRow="0" w:firstColumn="1" w:lastColumn="0" w:noHBand="0" w:noVBand="1"/>
      </w:tblPr>
      <w:tblGrid>
        <w:gridCol w:w="5407"/>
        <w:gridCol w:w="691"/>
        <w:gridCol w:w="1694"/>
        <w:gridCol w:w="1701"/>
      </w:tblGrid>
      <w:tr w:rsidR="00EA6933" w:rsidRPr="00EA6933" w14:paraId="50F79917" w14:textId="77777777" w:rsidTr="00EA6933">
        <w:trPr>
          <w:trHeight w:val="495"/>
        </w:trPr>
        <w:tc>
          <w:tcPr>
            <w:tcW w:w="5407" w:type="dxa"/>
            <w:tcBorders>
              <w:top w:val="single" w:sz="4" w:space="0" w:color="auto"/>
              <w:left w:val="single" w:sz="4" w:space="0" w:color="auto"/>
              <w:bottom w:val="single" w:sz="8" w:space="0" w:color="C0C0C0"/>
              <w:right w:val="single" w:sz="4" w:space="0" w:color="FFFFFF"/>
            </w:tcBorders>
            <w:shd w:val="clear" w:color="000000" w:fill="969696"/>
            <w:vAlign w:val="center"/>
            <w:hideMark/>
          </w:tcPr>
          <w:p w14:paraId="4BF7CF1A"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Naziv pozicije</w:t>
            </w:r>
          </w:p>
        </w:tc>
        <w:tc>
          <w:tcPr>
            <w:tcW w:w="691" w:type="dxa"/>
            <w:tcBorders>
              <w:top w:val="single" w:sz="4" w:space="0" w:color="auto"/>
              <w:left w:val="nil"/>
              <w:bottom w:val="single" w:sz="8" w:space="0" w:color="C0C0C0"/>
              <w:right w:val="single" w:sz="4" w:space="0" w:color="FFFFFF"/>
            </w:tcBorders>
            <w:shd w:val="clear" w:color="000000" w:fill="969696"/>
            <w:vAlign w:val="center"/>
            <w:hideMark/>
          </w:tcPr>
          <w:p w14:paraId="7CD107B6"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AOP</w:t>
            </w:r>
            <w:r w:rsidRPr="00EA6933">
              <w:rPr>
                <w:rFonts w:ascii="Arial" w:eastAsia="Times New Roman" w:hAnsi="Arial" w:cs="Arial"/>
                <w:b/>
                <w:bCs/>
                <w:color w:val="FFFFFF"/>
                <w:sz w:val="16"/>
                <w:szCs w:val="16"/>
                <w:lang w:eastAsia="hr-HR"/>
              </w:rPr>
              <w:br/>
            </w:r>
            <w:r w:rsidRPr="00EA6933">
              <w:rPr>
                <w:rFonts w:ascii="Arial" w:eastAsia="Times New Roman" w:hAnsi="Arial" w:cs="Arial"/>
                <w:b/>
                <w:bCs/>
                <w:color w:val="FFFFFF"/>
                <w:sz w:val="14"/>
                <w:szCs w:val="14"/>
                <w:lang w:eastAsia="hr-HR"/>
              </w:rPr>
              <w:t>oznaka</w:t>
            </w:r>
          </w:p>
        </w:tc>
        <w:tc>
          <w:tcPr>
            <w:tcW w:w="1694" w:type="dxa"/>
            <w:tcBorders>
              <w:top w:val="single" w:sz="4" w:space="0" w:color="auto"/>
              <w:left w:val="nil"/>
              <w:bottom w:val="single" w:sz="8" w:space="0" w:color="C0C0C0"/>
              <w:right w:val="single" w:sz="4" w:space="0" w:color="FFFFFF"/>
            </w:tcBorders>
            <w:shd w:val="clear" w:color="000000" w:fill="969696"/>
            <w:vAlign w:val="center"/>
            <w:hideMark/>
          </w:tcPr>
          <w:p w14:paraId="7A21C733"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Prethodna godina</w:t>
            </w:r>
          </w:p>
        </w:tc>
        <w:tc>
          <w:tcPr>
            <w:tcW w:w="1701" w:type="dxa"/>
            <w:tcBorders>
              <w:top w:val="single" w:sz="4" w:space="0" w:color="000000"/>
              <w:left w:val="nil"/>
              <w:bottom w:val="single" w:sz="8" w:space="0" w:color="C0C0C0"/>
              <w:right w:val="single" w:sz="4" w:space="0" w:color="auto"/>
            </w:tcBorders>
            <w:shd w:val="clear" w:color="000000" w:fill="969696"/>
            <w:vAlign w:val="center"/>
            <w:hideMark/>
          </w:tcPr>
          <w:p w14:paraId="7CE3F9EB" w14:textId="77777777" w:rsidR="00EA6933" w:rsidRPr="00EA6933" w:rsidRDefault="00EA6933" w:rsidP="00EA6933">
            <w:pPr>
              <w:spacing w:after="0" w:line="240" w:lineRule="auto"/>
              <w:jc w:val="center"/>
              <w:rPr>
                <w:rFonts w:ascii="Arial" w:eastAsia="Times New Roman" w:hAnsi="Arial" w:cs="Arial"/>
                <w:b/>
                <w:bCs/>
                <w:color w:val="FFFFFF"/>
                <w:sz w:val="16"/>
                <w:szCs w:val="16"/>
                <w:lang w:eastAsia="hr-HR"/>
              </w:rPr>
            </w:pPr>
            <w:r w:rsidRPr="00EA6933">
              <w:rPr>
                <w:rFonts w:ascii="Arial" w:eastAsia="Times New Roman" w:hAnsi="Arial" w:cs="Arial"/>
                <w:b/>
                <w:bCs/>
                <w:color w:val="FFFFFF"/>
                <w:sz w:val="16"/>
                <w:szCs w:val="16"/>
                <w:lang w:eastAsia="hr-HR"/>
              </w:rPr>
              <w:t>Tekuća godina</w:t>
            </w:r>
          </w:p>
        </w:tc>
      </w:tr>
      <w:tr w:rsidR="00EA6933" w:rsidRPr="00EA6933" w14:paraId="531190CA" w14:textId="77777777" w:rsidTr="00A853FC">
        <w:trPr>
          <w:trHeight w:val="288"/>
        </w:trPr>
        <w:tc>
          <w:tcPr>
            <w:tcW w:w="5407" w:type="dxa"/>
            <w:tcBorders>
              <w:top w:val="single" w:sz="4" w:space="0" w:color="auto"/>
              <w:left w:val="single" w:sz="4" w:space="0" w:color="auto"/>
              <w:bottom w:val="single" w:sz="4" w:space="0" w:color="C0C0C0"/>
              <w:right w:val="single" w:sz="4" w:space="0" w:color="auto"/>
            </w:tcBorders>
            <w:shd w:val="clear" w:color="auto" w:fill="auto"/>
            <w:vAlign w:val="center"/>
            <w:hideMark/>
          </w:tcPr>
          <w:p w14:paraId="45B8F6C6"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I. POSLOVNI PRIHODI </w:t>
            </w:r>
            <w:r w:rsidRPr="00EA6933">
              <w:rPr>
                <w:rFonts w:ascii="Arial" w:eastAsia="Times New Roman" w:hAnsi="Arial" w:cs="Arial"/>
                <w:color w:val="333399"/>
                <w:sz w:val="18"/>
                <w:szCs w:val="18"/>
                <w:lang w:eastAsia="hr-HR"/>
              </w:rPr>
              <w:t>(AOP 129 do 133)</w:t>
            </w:r>
          </w:p>
        </w:tc>
        <w:tc>
          <w:tcPr>
            <w:tcW w:w="691" w:type="dxa"/>
            <w:tcBorders>
              <w:top w:val="nil"/>
              <w:left w:val="nil"/>
              <w:bottom w:val="single" w:sz="4" w:space="0" w:color="C0C0C0"/>
              <w:right w:val="single" w:sz="4" w:space="0" w:color="auto"/>
            </w:tcBorders>
            <w:shd w:val="clear" w:color="auto" w:fill="auto"/>
            <w:noWrap/>
            <w:vAlign w:val="center"/>
            <w:hideMark/>
          </w:tcPr>
          <w:p w14:paraId="63DFE79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128</w:t>
            </w:r>
          </w:p>
        </w:tc>
        <w:tc>
          <w:tcPr>
            <w:tcW w:w="1694" w:type="dxa"/>
            <w:tcBorders>
              <w:top w:val="nil"/>
              <w:left w:val="nil"/>
              <w:bottom w:val="single" w:sz="4" w:space="0" w:color="C0C0C0"/>
              <w:right w:val="single" w:sz="4" w:space="0" w:color="auto"/>
            </w:tcBorders>
            <w:shd w:val="clear" w:color="auto" w:fill="auto"/>
            <w:noWrap/>
            <w:vAlign w:val="center"/>
            <w:hideMark/>
          </w:tcPr>
          <w:p w14:paraId="1FC467A5"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12.861.120,00</w:t>
            </w:r>
          </w:p>
        </w:tc>
        <w:tc>
          <w:tcPr>
            <w:tcW w:w="1701" w:type="dxa"/>
            <w:tcBorders>
              <w:top w:val="nil"/>
              <w:left w:val="nil"/>
              <w:bottom w:val="single" w:sz="4" w:space="0" w:color="C0C0C0"/>
              <w:right w:val="single" w:sz="4" w:space="0" w:color="auto"/>
            </w:tcBorders>
            <w:shd w:val="clear" w:color="auto" w:fill="auto"/>
            <w:noWrap/>
            <w:vAlign w:val="center"/>
            <w:hideMark/>
          </w:tcPr>
          <w:p w14:paraId="4CC8EBF9"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16.381.238,29</w:t>
            </w:r>
          </w:p>
        </w:tc>
      </w:tr>
      <w:tr w:rsidR="00EA6933" w:rsidRPr="00EA6933" w14:paraId="0D7B29F6"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2D62749"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Prihodi od prodaje (izvan grupe)</w:t>
            </w:r>
          </w:p>
        </w:tc>
        <w:tc>
          <w:tcPr>
            <w:tcW w:w="691" w:type="dxa"/>
            <w:tcBorders>
              <w:top w:val="nil"/>
              <w:left w:val="nil"/>
              <w:bottom w:val="single" w:sz="4" w:space="0" w:color="C0C0C0"/>
              <w:right w:val="single" w:sz="4" w:space="0" w:color="auto"/>
            </w:tcBorders>
            <w:shd w:val="clear" w:color="auto" w:fill="auto"/>
            <w:noWrap/>
            <w:vAlign w:val="center"/>
            <w:hideMark/>
          </w:tcPr>
          <w:p w14:paraId="6CADDBF5"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130</w:t>
            </w:r>
          </w:p>
        </w:tc>
        <w:tc>
          <w:tcPr>
            <w:tcW w:w="1694" w:type="dxa"/>
            <w:tcBorders>
              <w:top w:val="nil"/>
              <w:left w:val="nil"/>
              <w:bottom w:val="single" w:sz="4" w:space="0" w:color="C0C0C0"/>
              <w:right w:val="single" w:sz="4" w:space="0" w:color="auto"/>
            </w:tcBorders>
            <w:shd w:val="clear" w:color="auto" w:fill="auto"/>
            <w:noWrap/>
            <w:vAlign w:val="center"/>
            <w:hideMark/>
          </w:tcPr>
          <w:p w14:paraId="64DC27F0"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12.441.152,96</w:t>
            </w:r>
          </w:p>
        </w:tc>
        <w:tc>
          <w:tcPr>
            <w:tcW w:w="1701" w:type="dxa"/>
            <w:tcBorders>
              <w:top w:val="nil"/>
              <w:left w:val="nil"/>
              <w:bottom w:val="single" w:sz="4" w:space="0" w:color="C0C0C0"/>
              <w:right w:val="single" w:sz="4" w:space="0" w:color="auto"/>
            </w:tcBorders>
            <w:shd w:val="clear" w:color="auto" w:fill="auto"/>
            <w:noWrap/>
            <w:vAlign w:val="center"/>
            <w:hideMark/>
          </w:tcPr>
          <w:p w14:paraId="6CF4FC2D"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15.942.498,69</w:t>
            </w:r>
          </w:p>
        </w:tc>
      </w:tr>
      <w:tr w:rsidR="00EA6933" w:rsidRPr="00EA6933" w14:paraId="3A621F35"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6C800A4"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5. Ostali poslovni prihodi (izvan grupe)</w:t>
            </w:r>
          </w:p>
        </w:tc>
        <w:tc>
          <w:tcPr>
            <w:tcW w:w="691" w:type="dxa"/>
            <w:tcBorders>
              <w:top w:val="nil"/>
              <w:left w:val="nil"/>
              <w:bottom w:val="single" w:sz="4" w:space="0" w:color="C0C0C0"/>
              <w:right w:val="single" w:sz="4" w:space="0" w:color="auto"/>
            </w:tcBorders>
            <w:shd w:val="clear" w:color="auto" w:fill="auto"/>
            <w:noWrap/>
            <w:vAlign w:val="center"/>
            <w:hideMark/>
          </w:tcPr>
          <w:p w14:paraId="21CD709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133</w:t>
            </w:r>
          </w:p>
        </w:tc>
        <w:tc>
          <w:tcPr>
            <w:tcW w:w="1694" w:type="dxa"/>
            <w:tcBorders>
              <w:top w:val="nil"/>
              <w:left w:val="nil"/>
              <w:bottom w:val="single" w:sz="4" w:space="0" w:color="C0C0C0"/>
              <w:right w:val="single" w:sz="4" w:space="0" w:color="auto"/>
            </w:tcBorders>
            <w:shd w:val="clear" w:color="auto" w:fill="auto"/>
            <w:noWrap/>
            <w:vAlign w:val="center"/>
            <w:hideMark/>
          </w:tcPr>
          <w:p w14:paraId="61642E1C"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419.967,04</w:t>
            </w:r>
          </w:p>
        </w:tc>
        <w:tc>
          <w:tcPr>
            <w:tcW w:w="1701" w:type="dxa"/>
            <w:tcBorders>
              <w:top w:val="nil"/>
              <w:left w:val="nil"/>
              <w:bottom w:val="single" w:sz="4" w:space="0" w:color="C0C0C0"/>
              <w:right w:val="single" w:sz="4" w:space="0" w:color="auto"/>
            </w:tcBorders>
            <w:shd w:val="clear" w:color="auto" w:fill="auto"/>
            <w:noWrap/>
            <w:vAlign w:val="center"/>
            <w:hideMark/>
          </w:tcPr>
          <w:p w14:paraId="5B49D44B"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438.739,60</w:t>
            </w:r>
          </w:p>
        </w:tc>
      </w:tr>
      <w:tr w:rsidR="00EA6933" w:rsidRPr="00EA6933" w14:paraId="0302701A"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154058D"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II. POSLOVNI RASHODI </w:t>
            </w:r>
            <w:r w:rsidRPr="00EA6933">
              <w:rPr>
                <w:rFonts w:ascii="Arial" w:eastAsia="Times New Roman" w:hAnsi="Arial" w:cs="Arial"/>
                <w:color w:val="333399"/>
                <w:sz w:val="18"/>
                <w:szCs w:val="18"/>
                <w:lang w:eastAsia="hr-HR"/>
              </w:rPr>
              <w:t>(AOP 135+136+140+144 do 146+149+156)</w:t>
            </w:r>
          </w:p>
        </w:tc>
        <w:tc>
          <w:tcPr>
            <w:tcW w:w="691" w:type="dxa"/>
            <w:tcBorders>
              <w:top w:val="nil"/>
              <w:left w:val="nil"/>
              <w:bottom w:val="single" w:sz="4" w:space="0" w:color="C0C0C0"/>
              <w:right w:val="single" w:sz="4" w:space="0" w:color="auto"/>
            </w:tcBorders>
            <w:shd w:val="clear" w:color="auto" w:fill="auto"/>
            <w:noWrap/>
            <w:vAlign w:val="center"/>
            <w:hideMark/>
          </w:tcPr>
          <w:p w14:paraId="6F65CF2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134</w:t>
            </w:r>
          </w:p>
        </w:tc>
        <w:tc>
          <w:tcPr>
            <w:tcW w:w="1694" w:type="dxa"/>
            <w:tcBorders>
              <w:top w:val="nil"/>
              <w:left w:val="nil"/>
              <w:bottom w:val="single" w:sz="4" w:space="0" w:color="C0C0C0"/>
              <w:right w:val="single" w:sz="4" w:space="0" w:color="auto"/>
            </w:tcBorders>
            <w:shd w:val="clear" w:color="auto" w:fill="auto"/>
            <w:noWrap/>
            <w:vAlign w:val="center"/>
            <w:hideMark/>
          </w:tcPr>
          <w:p w14:paraId="2FC82E2F"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12.826.757,22</w:t>
            </w:r>
          </w:p>
        </w:tc>
        <w:tc>
          <w:tcPr>
            <w:tcW w:w="1701" w:type="dxa"/>
            <w:tcBorders>
              <w:top w:val="nil"/>
              <w:left w:val="nil"/>
              <w:bottom w:val="single" w:sz="4" w:space="0" w:color="C0C0C0"/>
              <w:right w:val="single" w:sz="4" w:space="0" w:color="auto"/>
            </w:tcBorders>
            <w:shd w:val="clear" w:color="auto" w:fill="auto"/>
            <w:noWrap/>
            <w:vAlign w:val="center"/>
            <w:hideMark/>
          </w:tcPr>
          <w:p w14:paraId="2DA08B08"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16.283.238,31</w:t>
            </w:r>
          </w:p>
        </w:tc>
      </w:tr>
      <w:tr w:rsidR="00EA6933" w:rsidRPr="00EA6933" w14:paraId="633424C9"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F933FC8"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 Promjene vrijednosti zaliha proizvodnje u tijeku i gotovih proizvoda</w:t>
            </w:r>
          </w:p>
        </w:tc>
        <w:tc>
          <w:tcPr>
            <w:tcW w:w="691" w:type="dxa"/>
            <w:tcBorders>
              <w:top w:val="nil"/>
              <w:left w:val="nil"/>
              <w:bottom w:val="single" w:sz="4" w:space="0" w:color="C0C0C0"/>
              <w:right w:val="single" w:sz="4" w:space="0" w:color="auto"/>
            </w:tcBorders>
            <w:shd w:val="clear" w:color="auto" w:fill="auto"/>
            <w:noWrap/>
            <w:vAlign w:val="center"/>
            <w:hideMark/>
          </w:tcPr>
          <w:p w14:paraId="1F02A730"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135</w:t>
            </w:r>
          </w:p>
        </w:tc>
        <w:tc>
          <w:tcPr>
            <w:tcW w:w="1694" w:type="dxa"/>
            <w:tcBorders>
              <w:top w:val="nil"/>
              <w:left w:val="nil"/>
              <w:bottom w:val="single" w:sz="4" w:space="0" w:color="C0C0C0"/>
              <w:right w:val="single" w:sz="4" w:space="0" w:color="auto"/>
            </w:tcBorders>
            <w:shd w:val="clear" w:color="auto" w:fill="auto"/>
            <w:noWrap/>
            <w:vAlign w:val="center"/>
            <w:hideMark/>
          </w:tcPr>
          <w:p w14:paraId="43D4AA83" w14:textId="77777777" w:rsidR="00EA6933" w:rsidRPr="00EA6933" w:rsidRDefault="00EA6933" w:rsidP="00EA6933">
            <w:pPr>
              <w:spacing w:after="0" w:line="240" w:lineRule="auto"/>
              <w:jc w:val="center"/>
              <w:rPr>
                <w:rFonts w:ascii="Arial" w:eastAsia="Times New Roman" w:hAnsi="Arial" w:cs="Arial"/>
                <w:sz w:val="18"/>
                <w:szCs w:val="18"/>
                <w:lang w:eastAsia="hr-HR"/>
              </w:rPr>
            </w:pPr>
          </w:p>
        </w:tc>
        <w:tc>
          <w:tcPr>
            <w:tcW w:w="1701" w:type="dxa"/>
            <w:tcBorders>
              <w:top w:val="nil"/>
              <w:left w:val="nil"/>
              <w:bottom w:val="single" w:sz="4" w:space="0" w:color="C0C0C0"/>
              <w:right w:val="single" w:sz="4" w:space="0" w:color="auto"/>
            </w:tcBorders>
            <w:shd w:val="clear" w:color="auto" w:fill="auto"/>
            <w:noWrap/>
            <w:vAlign w:val="center"/>
            <w:hideMark/>
          </w:tcPr>
          <w:p w14:paraId="509E47C5" w14:textId="77777777" w:rsidR="00EA6933" w:rsidRPr="00EA6933" w:rsidRDefault="00EA6933" w:rsidP="00EA6933">
            <w:pPr>
              <w:spacing w:after="0" w:line="240" w:lineRule="auto"/>
              <w:jc w:val="center"/>
              <w:rPr>
                <w:rFonts w:ascii="Arial" w:eastAsia="Times New Roman" w:hAnsi="Arial" w:cs="Arial"/>
                <w:sz w:val="18"/>
                <w:szCs w:val="18"/>
                <w:lang w:eastAsia="hr-HR"/>
              </w:rPr>
            </w:pPr>
          </w:p>
        </w:tc>
      </w:tr>
      <w:tr w:rsidR="00EA6933" w:rsidRPr="00EA6933" w14:paraId="0885FD4E"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2741327"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Materijalni troškovi (AOP 137 do 139)</w:t>
            </w:r>
          </w:p>
        </w:tc>
        <w:tc>
          <w:tcPr>
            <w:tcW w:w="691" w:type="dxa"/>
            <w:tcBorders>
              <w:top w:val="nil"/>
              <w:left w:val="nil"/>
              <w:bottom w:val="single" w:sz="4" w:space="0" w:color="C0C0C0"/>
              <w:right w:val="single" w:sz="4" w:space="0" w:color="auto"/>
            </w:tcBorders>
            <w:shd w:val="clear" w:color="auto" w:fill="auto"/>
            <w:noWrap/>
            <w:vAlign w:val="center"/>
            <w:hideMark/>
          </w:tcPr>
          <w:p w14:paraId="1A0F9AB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136</w:t>
            </w:r>
          </w:p>
        </w:tc>
        <w:tc>
          <w:tcPr>
            <w:tcW w:w="1694" w:type="dxa"/>
            <w:tcBorders>
              <w:top w:val="nil"/>
              <w:left w:val="nil"/>
              <w:bottom w:val="single" w:sz="4" w:space="0" w:color="C0C0C0"/>
              <w:right w:val="single" w:sz="4" w:space="0" w:color="auto"/>
            </w:tcBorders>
            <w:shd w:val="clear" w:color="auto" w:fill="auto"/>
            <w:noWrap/>
            <w:vAlign w:val="center"/>
            <w:hideMark/>
          </w:tcPr>
          <w:p w14:paraId="63AFD06C"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6.554.385,52</w:t>
            </w:r>
          </w:p>
        </w:tc>
        <w:tc>
          <w:tcPr>
            <w:tcW w:w="1701" w:type="dxa"/>
            <w:tcBorders>
              <w:top w:val="nil"/>
              <w:left w:val="nil"/>
              <w:bottom w:val="single" w:sz="4" w:space="0" w:color="C0C0C0"/>
              <w:right w:val="single" w:sz="4" w:space="0" w:color="auto"/>
            </w:tcBorders>
            <w:shd w:val="clear" w:color="auto" w:fill="auto"/>
            <w:noWrap/>
            <w:vAlign w:val="center"/>
            <w:hideMark/>
          </w:tcPr>
          <w:p w14:paraId="6ADBACED"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8.945.342,96</w:t>
            </w:r>
          </w:p>
        </w:tc>
      </w:tr>
      <w:tr w:rsidR="00EA6933" w:rsidRPr="00EA6933" w14:paraId="21A20B59"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75360E5"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a) Troškovi sirovina i materijala </w:t>
            </w:r>
          </w:p>
        </w:tc>
        <w:tc>
          <w:tcPr>
            <w:tcW w:w="691" w:type="dxa"/>
            <w:tcBorders>
              <w:top w:val="nil"/>
              <w:left w:val="nil"/>
              <w:bottom w:val="single" w:sz="4" w:space="0" w:color="C0C0C0"/>
              <w:right w:val="single" w:sz="4" w:space="0" w:color="auto"/>
            </w:tcBorders>
            <w:shd w:val="clear" w:color="auto" w:fill="auto"/>
            <w:noWrap/>
            <w:vAlign w:val="center"/>
            <w:hideMark/>
          </w:tcPr>
          <w:p w14:paraId="74B8F69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137</w:t>
            </w:r>
          </w:p>
        </w:tc>
        <w:tc>
          <w:tcPr>
            <w:tcW w:w="1694" w:type="dxa"/>
            <w:tcBorders>
              <w:top w:val="nil"/>
              <w:left w:val="nil"/>
              <w:bottom w:val="single" w:sz="4" w:space="0" w:color="C0C0C0"/>
              <w:right w:val="single" w:sz="4" w:space="0" w:color="auto"/>
            </w:tcBorders>
            <w:shd w:val="clear" w:color="auto" w:fill="auto"/>
            <w:noWrap/>
            <w:vAlign w:val="center"/>
            <w:hideMark/>
          </w:tcPr>
          <w:p w14:paraId="76D846E2"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1.715.466,43</w:t>
            </w:r>
          </w:p>
        </w:tc>
        <w:tc>
          <w:tcPr>
            <w:tcW w:w="1701" w:type="dxa"/>
            <w:tcBorders>
              <w:top w:val="nil"/>
              <w:left w:val="nil"/>
              <w:bottom w:val="single" w:sz="4" w:space="0" w:color="C0C0C0"/>
              <w:right w:val="single" w:sz="4" w:space="0" w:color="auto"/>
            </w:tcBorders>
            <w:shd w:val="clear" w:color="auto" w:fill="auto"/>
            <w:noWrap/>
            <w:vAlign w:val="center"/>
            <w:hideMark/>
          </w:tcPr>
          <w:p w14:paraId="62243214"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1.932.400,77</w:t>
            </w:r>
          </w:p>
        </w:tc>
      </w:tr>
      <w:tr w:rsidR="00EA6933" w:rsidRPr="00EA6933" w14:paraId="0DEB68B6"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09A2641"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b) Troškovi prodane robe </w:t>
            </w:r>
          </w:p>
        </w:tc>
        <w:tc>
          <w:tcPr>
            <w:tcW w:w="691" w:type="dxa"/>
            <w:tcBorders>
              <w:top w:val="nil"/>
              <w:left w:val="nil"/>
              <w:bottom w:val="single" w:sz="4" w:space="0" w:color="C0C0C0"/>
              <w:right w:val="single" w:sz="4" w:space="0" w:color="auto"/>
            </w:tcBorders>
            <w:shd w:val="clear" w:color="auto" w:fill="auto"/>
            <w:noWrap/>
            <w:vAlign w:val="center"/>
            <w:hideMark/>
          </w:tcPr>
          <w:p w14:paraId="14BA6C0D"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138</w:t>
            </w:r>
          </w:p>
        </w:tc>
        <w:tc>
          <w:tcPr>
            <w:tcW w:w="1694" w:type="dxa"/>
            <w:tcBorders>
              <w:top w:val="nil"/>
              <w:left w:val="nil"/>
              <w:bottom w:val="single" w:sz="4" w:space="0" w:color="C0C0C0"/>
              <w:right w:val="single" w:sz="4" w:space="0" w:color="auto"/>
            </w:tcBorders>
            <w:shd w:val="clear" w:color="auto" w:fill="auto"/>
            <w:noWrap/>
            <w:vAlign w:val="center"/>
            <w:hideMark/>
          </w:tcPr>
          <w:p w14:paraId="4ECFD96E"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100.963,01</w:t>
            </w:r>
          </w:p>
        </w:tc>
        <w:tc>
          <w:tcPr>
            <w:tcW w:w="1701" w:type="dxa"/>
            <w:tcBorders>
              <w:top w:val="nil"/>
              <w:left w:val="nil"/>
              <w:bottom w:val="single" w:sz="4" w:space="0" w:color="C0C0C0"/>
              <w:right w:val="single" w:sz="4" w:space="0" w:color="auto"/>
            </w:tcBorders>
            <w:shd w:val="clear" w:color="auto" w:fill="auto"/>
            <w:noWrap/>
            <w:vAlign w:val="center"/>
            <w:hideMark/>
          </w:tcPr>
          <w:p w14:paraId="16D53F55"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134.779,79</w:t>
            </w:r>
          </w:p>
        </w:tc>
      </w:tr>
      <w:tr w:rsidR="00EA6933" w:rsidRPr="00EA6933" w14:paraId="6E217095"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B1CD6E0"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c) Ostali vanjski troškovi </w:t>
            </w:r>
          </w:p>
        </w:tc>
        <w:tc>
          <w:tcPr>
            <w:tcW w:w="691" w:type="dxa"/>
            <w:tcBorders>
              <w:top w:val="nil"/>
              <w:left w:val="nil"/>
              <w:bottom w:val="single" w:sz="4" w:space="0" w:color="C0C0C0"/>
              <w:right w:val="single" w:sz="4" w:space="0" w:color="auto"/>
            </w:tcBorders>
            <w:shd w:val="clear" w:color="auto" w:fill="auto"/>
            <w:noWrap/>
            <w:vAlign w:val="center"/>
            <w:hideMark/>
          </w:tcPr>
          <w:p w14:paraId="3C6C112A"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139</w:t>
            </w:r>
          </w:p>
        </w:tc>
        <w:tc>
          <w:tcPr>
            <w:tcW w:w="1694" w:type="dxa"/>
            <w:tcBorders>
              <w:top w:val="nil"/>
              <w:left w:val="nil"/>
              <w:bottom w:val="single" w:sz="4" w:space="0" w:color="C0C0C0"/>
              <w:right w:val="single" w:sz="4" w:space="0" w:color="auto"/>
            </w:tcBorders>
            <w:shd w:val="clear" w:color="auto" w:fill="auto"/>
            <w:noWrap/>
            <w:vAlign w:val="center"/>
            <w:hideMark/>
          </w:tcPr>
          <w:p w14:paraId="18DB3E2B"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4.737.956,08</w:t>
            </w:r>
          </w:p>
        </w:tc>
        <w:tc>
          <w:tcPr>
            <w:tcW w:w="1701" w:type="dxa"/>
            <w:tcBorders>
              <w:top w:val="nil"/>
              <w:left w:val="nil"/>
              <w:bottom w:val="single" w:sz="4" w:space="0" w:color="C0C0C0"/>
              <w:right w:val="single" w:sz="4" w:space="0" w:color="auto"/>
            </w:tcBorders>
            <w:shd w:val="clear" w:color="auto" w:fill="auto"/>
            <w:noWrap/>
            <w:vAlign w:val="center"/>
            <w:hideMark/>
          </w:tcPr>
          <w:p w14:paraId="2DECBD28"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6.878.162,40</w:t>
            </w:r>
          </w:p>
        </w:tc>
      </w:tr>
      <w:tr w:rsidR="00EA6933" w:rsidRPr="00EA6933" w14:paraId="2818530F"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3E90828"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3. Troškovi osoblja (AOP 141 do 143)</w:t>
            </w:r>
          </w:p>
        </w:tc>
        <w:tc>
          <w:tcPr>
            <w:tcW w:w="691" w:type="dxa"/>
            <w:tcBorders>
              <w:top w:val="nil"/>
              <w:left w:val="nil"/>
              <w:bottom w:val="single" w:sz="4" w:space="0" w:color="C0C0C0"/>
              <w:right w:val="single" w:sz="4" w:space="0" w:color="auto"/>
            </w:tcBorders>
            <w:shd w:val="clear" w:color="auto" w:fill="auto"/>
            <w:noWrap/>
            <w:vAlign w:val="center"/>
            <w:hideMark/>
          </w:tcPr>
          <w:p w14:paraId="6DEA9C1A"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140</w:t>
            </w:r>
          </w:p>
        </w:tc>
        <w:tc>
          <w:tcPr>
            <w:tcW w:w="1694" w:type="dxa"/>
            <w:tcBorders>
              <w:top w:val="nil"/>
              <w:left w:val="nil"/>
              <w:bottom w:val="single" w:sz="4" w:space="0" w:color="C0C0C0"/>
              <w:right w:val="single" w:sz="4" w:space="0" w:color="auto"/>
            </w:tcBorders>
            <w:shd w:val="clear" w:color="auto" w:fill="auto"/>
            <w:noWrap/>
            <w:vAlign w:val="center"/>
            <w:hideMark/>
          </w:tcPr>
          <w:p w14:paraId="5C738CC7"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4.474.700,91</w:t>
            </w:r>
          </w:p>
        </w:tc>
        <w:tc>
          <w:tcPr>
            <w:tcW w:w="1701" w:type="dxa"/>
            <w:tcBorders>
              <w:top w:val="nil"/>
              <w:left w:val="nil"/>
              <w:bottom w:val="single" w:sz="4" w:space="0" w:color="C0C0C0"/>
              <w:right w:val="single" w:sz="4" w:space="0" w:color="auto"/>
            </w:tcBorders>
            <w:shd w:val="clear" w:color="auto" w:fill="auto"/>
            <w:noWrap/>
            <w:vAlign w:val="center"/>
            <w:hideMark/>
          </w:tcPr>
          <w:p w14:paraId="57EC8788"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5.018.868,80</w:t>
            </w:r>
          </w:p>
        </w:tc>
      </w:tr>
      <w:tr w:rsidR="00EA6933" w:rsidRPr="00EA6933" w14:paraId="698BF254"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8373A72"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a) Neto plaće i nadnice</w:t>
            </w:r>
          </w:p>
        </w:tc>
        <w:tc>
          <w:tcPr>
            <w:tcW w:w="691" w:type="dxa"/>
            <w:tcBorders>
              <w:top w:val="nil"/>
              <w:left w:val="nil"/>
              <w:bottom w:val="single" w:sz="4" w:space="0" w:color="C0C0C0"/>
              <w:right w:val="single" w:sz="4" w:space="0" w:color="auto"/>
            </w:tcBorders>
            <w:shd w:val="clear" w:color="auto" w:fill="auto"/>
            <w:noWrap/>
            <w:vAlign w:val="center"/>
            <w:hideMark/>
          </w:tcPr>
          <w:p w14:paraId="09C9F2A5"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141</w:t>
            </w:r>
          </w:p>
        </w:tc>
        <w:tc>
          <w:tcPr>
            <w:tcW w:w="1694" w:type="dxa"/>
            <w:tcBorders>
              <w:top w:val="nil"/>
              <w:left w:val="nil"/>
              <w:bottom w:val="single" w:sz="4" w:space="0" w:color="C0C0C0"/>
              <w:right w:val="single" w:sz="4" w:space="0" w:color="auto"/>
            </w:tcBorders>
            <w:shd w:val="clear" w:color="auto" w:fill="auto"/>
            <w:noWrap/>
            <w:vAlign w:val="center"/>
            <w:hideMark/>
          </w:tcPr>
          <w:p w14:paraId="236E6581"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2.802.093,17</w:t>
            </w:r>
          </w:p>
        </w:tc>
        <w:tc>
          <w:tcPr>
            <w:tcW w:w="1701" w:type="dxa"/>
            <w:tcBorders>
              <w:top w:val="nil"/>
              <w:left w:val="nil"/>
              <w:bottom w:val="single" w:sz="4" w:space="0" w:color="C0C0C0"/>
              <w:right w:val="single" w:sz="4" w:space="0" w:color="auto"/>
            </w:tcBorders>
            <w:shd w:val="clear" w:color="auto" w:fill="auto"/>
            <w:noWrap/>
            <w:vAlign w:val="center"/>
            <w:hideMark/>
          </w:tcPr>
          <w:p w14:paraId="5D38DD3A"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3.171.368,68</w:t>
            </w:r>
          </w:p>
        </w:tc>
      </w:tr>
      <w:tr w:rsidR="00EA6933" w:rsidRPr="00EA6933" w14:paraId="47001B8B"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8DC6ED0"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b) Troškovi poreza i doprinosa iz plaća</w:t>
            </w:r>
          </w:p>
        </w:tc>
        <w:tc>
          <w:tcPr>
            <w:tcW w:w="691" w:type="dxa"/>
            <w:tcBorders>
              <w:top w:val="nil"/>
              <w:left w:val="nil"/>
              <w:bottom w:val="single" w:sz="4" w:space="0" w:color="C0C0C0"/>
              <w:right w:val="single" w:sz="4" w:space="0" w:color="auto"/>
            </w:tcBorders>
            <w:shd w:val="clear" w:color="auto" w:fill="auto"/>
            <w:noWrap/>
            <w:vAlign w:val="center"/>
            <w:hideMark/>
          </w:tcPr>
          <w:p w14:paraId="7B93E36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142</w:t>
            </w:r>
          </w:p>
        </w:tc>
        <w:tc>
          <w:tcPr>
            <w:tcW w:w="1694" w:type="dxa"/>
            <w:tcBorders>
              <w:top w:val="nil"/>
              <w:left w:val="nil"/>
              <w:bottom w:val="single" w:sz="4" w:space="0" w:color="C0C0C0"/>
              <w:right w:val="single" w:sz="4" w:space="0" w:color="auto"/>
            </w:tcBorders>
            <w:shd w:val="clear" w:color="auto" w:fill="auto"/>
            <w:noWrap/>
            <w:vAlign w:val="center"/>
            <w:hideMark/>
          </w:tcPr>
          <w:p w14:paraId="73889979"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1.035.383,63</w:t>
            </w:r>
          </w:p>
        </w:tc>
        <w:tc>
          <w:tcPr>
            <w:tcW w:w="1701" w:type="dxa"/>
            <w:tcBorders>
              <w:top w:val="nil"/>
              <w:left w:val="nil"/>
              <w:bottom w:val="single" w:sz="4" w:space="0" w:color="C0C0C0"/>
              <w:right w:val="single" w:sz="4" w:space="0" w:color="auto"/>
            </w:tcBorders>
            <w:shd w:val="clear" w:color="auto" w:fill="auto"/>
            <w:noWrap/>
            <w:vAlign w:val="center"/>
            <w:hideMark/>
          </w:tcPr>
          <w:p w14:paraId="5A749EE2"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1.136.628,31</w:t>
            </w:r>
          </w:p>
        </w:tc>
      </w:tr>
      <w:tr w:rsidR="00EA6933" w:rsidRPr="00EA6933" w14:paraId="2C7A4C1D"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A2D7C5C"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c) Doprinosi na plaće</w:t>
            </w:r>
          </w:p>
        </w:tc>
        <w:tc>
          <w:tcPr>
            <w:tcW w:w="691" w:type="dxa"/>
            <w:tcBorders>
              <w:top w:val="nil"/>
              <w:left w:val="nil"/>
              <w:bottom w:val="single" w:sz="4" w:space="0" w:color="C0C0C0"/>
              <w:right w:val="single" w:sz="4" w:space="0" w:color="auto"/>
            </w:tcBorders>
            <w:shd w:val="clear" w:color="auto" w:fill="auto"/>
            <w:noWrap/>
            <w:vAlign w:val="center"/>
            <w:hideMark/>
          </w:tcPr>
          <w:p w14:paraId="6E08BF98"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143</w:t>
            </w:r>
          </w:p>
        </w:tc>
        <w:tc>
          <w:tcPr>
            <w:tcW w:w="1694" w:type="dxa"/>
            <w:tcBorders>
              <w:top w:val="nil"/>
              <w:left w:val="nil"/>
              <w:bottom w:val="single" w:sz="4" w:space="0" w:color="C0C0C0"/>
              <w:right w:val="single" w:sz="4" w:space="0" w:color="auto"/>
            </w:tcBorders>
            <w:shd w:val="clear" w:color="auto" w:fill="auto"/>
            <w:noWrap/>
            <w:vAlign w:val="center"/>
            <w:hideMark/>
          </w:tcPr>
          <w:p w14:paraId="60AB12D1"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637.224,11</w:t>
            </w:r>
          </w:p>
        </w:tc>
        <w:tc>
          <w:tcPr>
            <w:tcW w:w="1701" w:type="dxa"/>
            <w:tcBorders>
              <w:top w:val="nil"/>
              <w:left w:val="nil"/>
              <w:bottom w:val="single" w:sz="4" w:space="0" w:color="C0C0C0"/>
              <w:right w:val="single" w:sz="4" w:space="0" w:color="auto"/>
            </w:tcBorders>
            <w:shd w:val="clear" w:color="auto" w:fill="auto"/>
            <w:noWrap/>
            <w:vAlign w:val="center"/>
            <w:hideMark/>
          </w:tcPr>
          <w:p w14:paraId="1DFDCBA5"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710.871,81</w:t>
            </w:r>
          </w:p>
        </w:tc>
      </w:tr>
      <w:tr w:rsidR="00EA6933" w:rsidRPr="00EA6933" w14:paraId="3FC8357D"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AC6BFD6"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4. Amortizacija</w:t>
            </w:r>
          </w:p>
        </w:tc>
        <w:tc>
          <w:tcPr>
            <w:tcW w:w="691" w:type="dxa"/>
            <w:tcBorders>
              <w:top w:val="nil"/>
              <w:left w:val="nil"/>
              <w:bottom w:val="single" w:sz="4" w:space="0" w:color="C0C0C0"/>
              <w:right w:val="single" w:sz="4" w:space="0" w:color="auto"/>
            </w:tcBorders>
            <w:shd w:val="clear" w:color="auto" w:fill="auto"/>
            <w:noWrap/>
            <w:vAlign w:val="center"/>
            <w:hideMark/>
          </w:tcPr>
          <w:p w14:paraId="65BA63A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144</w:t>
            </w:r>
          </w:p>
        </w:tc>
        <w:tc>
          <w:tcPr>
            <w:tcW w:w="1694" w:type="dxa"/>
            <w:tcBorders>
              <w:top w:val="nil"/>
              <w:left w:val="nil"/>
              <w:bottom w:val="single" w:sz="4" w:space="0" w:color="C0C0C0"/>
              <w:right w:val="single" w:sz="4" w:space="0" w:color="auto"/>
            </w:tcBorders>
            <w:shd w:val="clear" w:color="auto" w:fill="auto"/>
            <w:noWrap/>
            <w:vAlign w:val="center"/>
            <w:hideMark/>
          </w:tcPr>
          <w:p w14:paraId="3A8D3776"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692.713,80</w:t>
            </w:r>
          </w:p>
        </w:tc>
        <w:tc>
          <w:tcPr>
            <w:tcW w:w="1701" w:type="dxa"/>
            <w:tcBorders>
              <w:top w:val="nil"/>
              <w:left w:val="nil"/>
              <w:bottom w:val="single" w:sz="4" w:space="0" w:color="C0C0C0"/>
              <w:right w:val="single" w:sz="4" w:space="0" w:color="auto"/>
            </w:tcBorders>
            <w:shd w:val="clear" w:color="auto" w:fill="auto"/>
            <w:noWrap/>
            <w:vAlign w:val="center"/>
            <w:hideMark/>
          </w:tcPr>
          <w:p w14:paraId="56957C23"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970.966,75</w:t>
            </w:r>
          </w:p>
        </w:tc>
      </w:tr>
      <w:tr w:rsidR="00EA6933" w:rsidRPr="00EA6933" w14:paraId="238F8F37"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EB8D007"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5. Ostali troškovi</w:t>
            </w:r>
          </w:p>
        </w:tc>
        <w:tc>
          <w:tcPr>
            <w:tcW w:w="691" w:type="dxa"/>
            <w:tcBorders>
              <w:top w:val="nil"/>
              <w:left w:val="nil"/>
              <w:bottom w:val="single" w:sz="4" w:space="0" w:color="C0C0C0"/>
              <w:right w:val="single" w:sz="4" w:space="0" w:color="auto"/>
            </w:tcBorders>
            <w:shd w:val="clear" w:color="auto" w:fill="auto"/>
            <w:noWrap/>
            <w:vAlign w:val="center"/>
            <w:hideMark/>
          </w:tcPr>
          <w:p w14:paraId="131191A9"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145</w:t>
            </w:r>
          </w:p>
        </w:tc>
        <w:tc>
          <w:tcPr>
            <w:tcW w:w="1694" w:type="dxa"/>
            <w:tcBorders>
              <w:top w:val="nil"/>
              <w:left w:val="nil"/>
              <w:bottom w:val="single" w:sz="4" w:space="0" w:color="C0C0C0"/>
              <w:right w:val="single" w:sz="4" w:space="0" w:color="auto"/>
            </w:tcBorders>
            <w:shd w:val="clear" w:color="auto" w:fill="auto"/>
            <w:noWrap/>
            <w:vAlign w:val="center"/>
            <w:hideMark/>
          </w:tcPr>
          <w:p w14:paraId="240DB047"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931.332,63</w:t>
            </w:r>
          </w:p>
        </w:tc>
        <w:tc>
          <w:tcPr>
            <w:tcW w:w="1701" w:type="dxa"/>
            <w:tcBorders>
              <w:top w:val="nil"/>
              <w:left w:val="nil"/>
              <w:bottom w:val="single" w:sz="4" w:space="0" w:color="C0C0C0"/>
              <w:right w:val="single" w:sz="4" w:space="0" w:color="auto"/>
            </w:tcBorders>
            <w:shd w:val="clear" w:color="auto" w:fill="auto"/>
            <w:noWrap/>
            <w:vAlign w:val="center"/>
            <w:hideMark/>
          </w:tcPr>
          <w:p w14:paraId="3C3049E4"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1.155.679,68</w:t>
            </w:r>
          </w:p>
        </w:tc>
      </w:tr>
      <w:tr w:rsidR="00EA6933" w:rsidRPr="00EA6933" w14:paraId="1D215364"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575ED39"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6. Vrijednosna usklađenja (AOP 147+148)</w:t>
            </w:r>
          </w:p>
        </w:tc>
        <w:tc>
          <w:tcPr>
            <w:tcW w:w="691" w:type="dxa"/>
            <w:tcBorders>
              <w:top w:val="nil"/>
              <w:left w:val="nil"/>
              <w:bottom w:val="single" w:sz="4" w:space="0" w:color="C0C0C0"/>
              <w:right w:val="single" w:sz="4" w:space="0" w:color="auto"/>
            </w:tcBorders>
            <w:shd w:val="clear" w:color="auto" w:fill="auto"/>
            <w:noWrap/>
            <w:vAlign w:val="center"/>
            <w:hideMark/>
          </w:tcPr>
          <w:p w14:paraId="281A7F0C"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146</w:t>
            </w:r>
          </w:p>
        </w:tc>
        <w:tc>
          <w:tcPr>
            <w:tcW w:w="1694" w:type="dxa"/>
            <w:tcBorders>
              <w:top w:val="nil"/>
              <w:left w:val="nil"/>
              <w:bottom w:val="single" w:sz="4" w:space="0" w:color="C0C0C0"/>
              <w:right w:val="single" w:sz="4" w:space="0" w:color="auto"/>
            </w:tcBorders>
            <w:shd w:val="clear" w:color="auto" w:fill="auto"/>
            <w:noWrap/>
            <w:vAlign w:val="center"/>
            <w:hideMark/>
          </w:tcPr>
          <w:p w14:paraId="1B88B2F2"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99.185,33</w:t>
            </w:r>
          </w:p>
        </w:tc>
        <w:tc>
          <w:tcPr>
            <w:tcW w:w="1701" w:type="dxa"/>
            <w:tcBorders>
              <w:top w:val="nil"/>
              <w:left w:val="nil"/>
              <w:bottom w:val="single" w:sz="4" w:space="0" w:color="C0C0C0"/>
              <w:right w:val="single" w:sz="4" w:space="0" w:color="auto"/>
            </w:tcBorders>
            <w:shd w:val="clear" w:color="auto" w:fill="auto"/>
            <w:noWrap/>
            <w:vAlign w:val="center"/>
            <w:hideMark/>
          </w:tcPr>
          <w:p w14:paraId="6645C19B"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122.185,61</w:t>
            </w:r>
          </w:p>
        </w:tc>
      </w:tr>
      <w:tr w:rsidR="00EA6933" w:rsidRPr="00EA6933" w14:paraId="7591DCB1"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30F256E"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b) kratkotrajne imovine osim financijske imovine</w:t>
            </w:r>
          </w:p>
        </w:tc>
        <w:tc>
          <w:tcPr>
            <w:tcW w:w="691" w:type="dxa"/>
            <w:tcBorders>
              <w:top w:val="nil"/>
              <w:left w:val="nil"/>
              <w:bottom w:val="single" w:sz="4" w:space="0" w:color="C0C0C0"/>
              <w:right w:val="single" w:sz="4" w:space="0" w:color="auto"/>
            </w:tcBorders>
            <w:shd w:val="clear" w:color="auto" w:fill="auto"/>
            <w:noWrap/>
            <w:vAlign w:val="center"/>
            <w:hideMark/>
          </w:tcPr>
          <w:p w14:paraId="271BF196"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148</w:t>
            </w:r>
          </w:p>
        </w:tc>
        <w:tc>
          <w:tcPr>
            <w:tcW w:w="1694" w:type="dxa"/>
            <w:tcBorders>
              <w:top w:val="nil"/>
              <w:left w:val="nil"/>
              <w:bottom w:val="single" w:sz="4" w:space="0" w:color="C0C0C0"/>
              <w:right w:val="single" w:sz="4" w:space="0" w:color="auto"/>
            </w:tcBorders>
            <w:shd w:val="clear" w:color="auto" w:fill="auto"/>
            <w:noWrap/>
            <w:vAlign w:val="center"/>
            <w:hideMark/>
          </w:tcPr>
          <w:p w14:paraId="760FD9D6"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99.185,33</w:t>
            </w:r>
          </w:p>
        </w:tc>
        <w:tc>
          <w:tcPr>
            <w:tcW w:w="1701" w:type="dxa"/>
            <w:tcBorders>
              <w:top w:val="nil"/>
              <w:left w:val="nil"/>
              <w:bottom w:val="single" w:sz="4" w:space="0" w:color="C0C0C0"/>
              <w:right w:val="single" w:sz="4" w:space="0" w:color="auto"/>
            </w:tcBorders>
            <w:shd w:val="clear" w:color="auto" w:fill="auto"/>
            <w:noWrap/>
            <w:vAlign w:val="center"/>
            <w:hideMark/>
          </w:tcPr>
          <w:p w14:paraId="5924D87B"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122.185,61</w:t>
            </w:r>
          </w:p>
        </w:tc>
      </w:tr>
      <w:tr w:rsidR="00EA6933" w:rsidRPr="00EA6933" w14:paraId="6AD5C80C"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7CC75B9"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7. Rezerviranja (AOP 150 do 155)</w:t>
            </w:r>
          </w:p>
        </w:tc>
        <w:tc>
          <w:tcPr>
            <w:tcW w:w="691" w:type="dxa"/>
            <w:tcBorders>
              <w:top w:val="nil"/>
              <w:left w:val="nil"/>
              <w:bottom w:val="single" w:sz="4" w:space="0" w:color="C0C0C0"/>
              <w:right w:val="single" w:sz="4" w:space="0" w:color="auto"/>
            </w:tcBorders>
            <w:shd w:val="clear" w:color="auto" w:fill="auto"/>
            <w:noWrap/>
            <w:vAlign w:val="center"/>
            <w:hideMark/>
          </w:tcPr>
          <w:p w14:paraId="79CD2B1F"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149</w:t>
            </w:r>
          </w:p>
        </w:tc>
        <w:tc>
          <w:tcPr>
            <w:tcW w:w="1694" w:type="dxa"/>
            <w:tcBorders>
              <w:top w:val="nil"/>
              <w:left w:val="nil"/>
              <w:bottom w:val="single" w:sz="4" w:space="0" w:color="C0C0C0"/>
              <w:right w:val="single" w:sz="4" w:space="0" w:color="auto"/>
            </w:tcBorders>
            <w:shd w:val="clear" w:color="auto" w:fill="auto"/>
            <w:noWrap/>
            <w:vAlign w:val="center"/>
            <w:hideMark/>
          </w:tcPr>
          <w:p w14:paraId="4EFC3A46"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0,00</w:t>
            </w:r>
          </w:p>
        </w:tc>
        <w:tc>
          <w:tcPr>
            <w:tcW w:w="1701" w:type="dxa"/>
            <w:tcBorders>
              <w:top w:val="nil"/>
              <w:left w:val="nil"/>
              <w:bottom w:val="single" w:sz="4" w:space="0" w:color="C0C0C0"/>
              <w:right w:val="single" w:sz="4" w:space="0" w:color="auto"/>
            </w:tcBorders>
            <w:shd w:val="clear" w:color="auto" w:fill="auto"/>
            <w:noWrap/>
            <w:vAlign w:val="center"/>
            <w:hideMark/>
          </w:tcPr>
          <w:p w14:paraId="3D546C91"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21.726,99</w:t>
            </w:r>
          </w:p>
        </w:tc>
      </w:tr>
      <w:tr w:rsidR="00EA6933" w:rsidRPr="00EA6933" w14:paraId="1092FADC"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BAA2A0E" w14:textId="77777777" w:rsidR="00EA6933" w:rsidRPr="00EA6933" w:rsidRDefault="00EA6933" w:rsidP="00EA6933">
            <w:pPr>
              <w:spacing w:after="0" w:line="240" w:lineRule="auto"/>
              <w:rPr>
                <w:rFonts w:ascii="Arial" w:eastAsia="Times New Roman" w:hAnsi="Arial" w:cs="Arial"/>
                <w:i/>
                <w:iCs/>
                <w:sz w:val="18"/>
                <w:szCs w:val="18"/>
                <w:lang w:eastAsia="hr-HR"/>
              </w:rPr>
            </w:pPr>
            <w:r w:rsidRPr="00EA6933">
              <w:rPr>
                <w:rFonts w:ascii="Arial" w:eastAsia="Times New Roman" w:hAnsi="Arial" w:cs="Arial"/>
                <w:i/>
                <w:iCs/>
                <w:sz w:val="18"/>
                <w:szCs w:val="18"/>
                <w:lang w:eastAsia="hr-HR"/>
              </w:rPr>
              <w:t xml:space="preserve">       c) Rezerviranja za započete sudske sporove</w:t>
            </w:r>
          </w:p>
        </w:tc>
        <w:tc>
          <w:tcPr>
            <w:tcW w:w="691" w:type="dxa"/>
            <w:tcBorders>
              <w:top w:val="nil"/>
              <w:left w:val="nil"/>
              <w:bottom w:val="single" w:sz="4" w:space="0" w:color="C0C0C0"/>
              <w:right w:val="single" w:sz="4" w:space="0" w:color="auto"/>
            </w:tcBorders>
            <w:shd w:val="clear" w:color="auto" w:fill="auto"/>
            <w:noWrap/>
            <w:vAlign w:val="center"/>
            <w:hideMark/>
          </w:tcPr>
          <w:p w14:paraId="3A1C30E6"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152</w:t>
            </w:r>
          </w:p>
        </w:tc>
        <w:tc>
          <w:tcPr>
            <w:tcW w:w="1694" w:type="dxa"/>
            <w:tcBorders>
              <w:top w:val="nil"/>
              <w:left w:val="nil"/>
              <w:bottom w:val="single" w:sz="4" w:space="0" w:color="C0C0C0"/>
              <w:right w:val="single" w:sz="4" w:space="0" w:color="auto"/>
            </w:tcBorders>
            <w:shd w:val="clear" w:color="auto" w:fill="auto"/>
            <w:noWrap/>
            <w:vAlign w:val="center"/>
            <w:hideMark/>
          </w:tcPr>
          <w:p w14:paraId="668CB8B3" w14:textId="77777777" w:rsidR="00EA6933" w:rsidRPr="00EA6933" w:rsidRDefault="00EA6933" w:rsidP="00EA6933">
            <w:pPr>
              <w:spacing w:after="0" w:line="240" w:lineRule="auto"/>
              <w:jc w:val="center"/>
              <w:rPr>
                <w:rFonts w:ascii="Arial" w:eastAsia="Times New Roman" w:hAnsi="Arial" w:cs="Arial"/>
                <w:sz w:val="18"/>
                <w:szCs w:val="18"/>
                <w:lang w:eastAsia="hr-HR"/>
              </w:rPr>
            </w:pPr>
          </w:p>
        </w:tc>
        <w:tc>
          <w:tcPr>
            <w:tcW w:w="1701" w:type="dxa"/>
            <w:tcBorders>
              <w:top w:val="nil"/>
              <w:left w:val="nil"/>
              <w:bottom w:val="single" w:sz="4" w:space="0" w:color="C0C0C0"/>
              <w:right w:val="single" w:sz="4" w:space="0" w:color="auto"/>
            </w:tcBorders>
            <w:shd w:val="clear" w:color="auto" w:fill="auto"/>
            <w:noWrap/>
            <w:vAlign w:val="center"/>
            <w:hideMark/>
          </w:tcPr>
          <w:p w14:paraId="3F96A05E"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21.726,99</w:t>
            </w:r>
          </w:p>
        </w:tc>
      </w:tr>
      <w:tr w:rsidR="00EA6933" w:rsidRPr="00EA6933" w14:paraId="6A49F073"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E5CB755"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8. Ostali poslovni rashodi</w:t>
            </w:r>
          </w:p>
        </w:tc>
        <w:tc>
          <w:tcPr>
            <w:tcW w:w="691" w:type="dxa"/>
            <w:tcBorders>
              <w:top w:val="nil"/>
              <w:left w:val="nil"/>
              <w:bottom w:val="single" w:sz="4" w:space="0" w:color="C0C0C0"/>
              <w:right w:val="single" w:sz="4" w:space="0" w:color="auto"/>
            </w:tcBorders>
            <w:shd w:val="clear" w:color="auto" w:fill="auto"/>
            <w:noWrap/>
            <w:vAlign w:val="center"/>
            <w:hideMark/>
          </w:tcPr>
          <w:p w14:paraId="35F1F2C6"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156</w:t>
            </w:r>
          </w:p>
        </w:tc>
        <w:tc>
          <w:tcPr>
            <w:tcW w:w="1694" w:type="dxa"/>
            <w:tcBorders>
              <w:top w:val="nil"/>
              <w:left w:val="nil"/>
              <w:bottom w:val="single" w:sz="4" w:space="0" w:color="C0C0C0"/>
              <w:right w:val="single" w:sz="4" w:space="0" w:color="auto"/>
            </w:tcBorders>
            <w:shd w:val="clear" w:color="auto" w:fill="auto"/>
            <w:noWrap/>
            <w:vAlign w:val="center"/>
            <w:hideMark/>
          </w:tcPr>
          <w:p w14:paraId="1DFB66EE"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74.439,03</w:t>
            </w:r>
          </w:p>
        </w:tc>
        <w:tc>
          <w:tcPr>
            <w:tcW w:w="1701" w:type="dxa"/>
            <w:tcBorders>
              <w:top w:val="nil"/>
              <w:left w:val="nil"/>
              <w:bottom w:val="single" w:sz="4" w:space="0" w:color="C0C0C0"/>
              <w:right w:val="single" w:sz="4" w:space="0" w:color="auto"/>
            </w:tcBorders>
            <w:shd w:val="clear" w:color="auto" w:fill="auto"/>
            <w:noWrap/>
            <w:vAlign w:val="center"/>
            <w:hideMark/>
          </w:tcPr>
          <w:p w14:paraId="50A8797F"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48.467,52</w:t>
            </w:r>
          </w:p>
        </w:tc>
      </w:tr>
      <w:tr w:rsidR="00EA6933" w:rsidRPr="00EA6933" w14:paraId="3D546EA4"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19A5A86"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III. FINANCIJSKI PRIHODI </w:t>
            </w:r>
            <w:r w:rsidRPr="00EA6933">
              <w:rPr>
                <w:rFonts w:ascii="Arial" w:eastAsia="Times New Roman" w:hAnsi="Arial" w:cs="Arial"/>
                <w:color w:val="333399"/>
                <w:sz w:val="18"/>
                <w:szCs w:val="18"/>
                <w:lang w:eastAsia="hr-HR"/>
              </w:rPr>
              <w:t>(AOP 158 do 167)</w:t>
            </w:r>
          </w:p>
        </w:tc>
        <w:tc>
          <w:tcPr>
            <w:tcW w:w="691" w:type="dxa"/>
            <w:tcBorders>
              <w:top w:val="nil"/>
              <w:left w:val="nil"/>
              <w:bottom w:val="single" w:sz="4" w:space="0" w:color="C0C0C0"/>
              <w:right w:val="single" w:sz="4" w:space="0" w:color="auto"/>
            </w:tcBorders>
            <w:shd w:val="clear" w:color="auto" w:fill="auto"/>
            <w:noWrap/>
            <w:vAlign w:val="center"/>
            <w:hideMark/>
          </w:tcPr>
          <w:p w14:paraId="098F8BFE"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157</w:t>
            </w:r>
          </w:p>
        </w:tc>
        <w:tc>
          <w:tcPr>
            <w:tcW w:w="1694" w:type="dxa"/>
            <w:tcBorders>
              <w:top w:val="nil"/>
              <w:left w:val="nil"/>
              <w:bottom w:val="single" w:sz="4" w:space="0" w:color="C0C0C0"/>
              <w:right w:val="single" w:sz="4" w:space="0" w:color="auto"/>
            </w:tcBorders>
            <w:shd w:val="clear" w:color="auto" w:fill="auto"/>
            <w:noWrap/>
            <w:vAlign w:val="center"/>
            <w:hideMark/>
          </w:tcPr>
          <w:p w14:paraId="62FA436C"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19.829,91</w:t>
            </w:r>
          </w:p>
        </w:tc>
        <w:tc>
          <w:tcPr>
            <w:tcW w:w="1701" w:type="dxa"/>
            <w:tcBorders>
              <w:top w:val="nil"/>
              <w:left w:val="nil"/>
              <w:bottom w:val="single" w:sz="4" w:space="0" w:color="C0C0C0"/>
              <w:right w:val="single" w:sz="4" w:space="0" w:color="auto"/>
            </w:tcBorders>
            <w:shd w:val="clear" w:color="auto" w:fill="auto"/>
            <w:noWrap/>
            <w:vAlign w:val="center"/>
            <w:hideMark/>
          </w:tcPr>
          <w:p w14:paraId="35F97042"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14.539,34</w:t>
            </w:r>
          </w:p>
        </w:tc>
      </w:tr>
      <w:tr w:rsidR="00EA6933" w:rsidRPr="00EA6933" w14:paraId="3FFCBDFC"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30CB1FB"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7. Ostali prihodi s osnove kamata</w:t>
            </w:r>
          </w:p>
        </w:tc>
        <w:tc>
          <w:tcPr>
            <w:tcW w:w="691" w:type="dxa"/>
            <w:tcBorders>
              <w:top w:val="nil"/>
              <w:left w:val="nil"/>
              <w:bottom w:val="single" w:sz="4" w:space="0" w:color="C0C0C0"/>
              <w:right w:val="single" w:sz="4" w:space="0" w:color="auto"/>
            </w:tcBorders>
            <w:shd w:val="clear" w:color="auto" w:fill="auto"/>
            <w:noWrap/>
            <w:vAlign w:val="center"/>
            <w:hideMark/>
          </w:tcPr>
          <w:p w14:paraId="69149FE8"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164</w:t>
            </w:r>
          </w:p>
        </w:tc>
        <w:tc>
          <w:tcPr>
            <w:tcW w:w="1694" w:type="dxa"/>
            <w:tcBorders>
              <w:top w:val="nil"/>
              <w:left w:val="nil"/>
              <w:bottom w:val="single" w:sz="4" w:space="0" w:color="C0C0C0"/>
              <w:right w:val="single" w:sz="4" w:space="0" w:color="auto"/>
            </w:tcBorders>
            <w:shd w:val="clear" w:color="auto" w:fill="auto"/>
            <w:noWrap/>
            <w:vAlign w:val="center"/>
            <w:hideMark/>
          </w:tcPr>
          <w:p w14:paraId="57476A2F"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19.739,66</w:t>
            </w:r>
          </w:p>
        </w:tc>
        <w:tc>
          <w:tcPr>
            <w:tcW w:w="1701" w:type="dxa"/>
            <w:tcBorders>
              <w:top w:val="nil"/>
              <w:left w:val="nil"/>
              <w:bottom w:val="single" w:sz="4" w:space="0" w:color="C0C0C0"/>
              <w:right w:val="single" w:sz="4" w:space="0" w:color="auto"/>
            </w:tcBorders>
            <w:shd w:val="clear" w:color="auto" w:fill="auto"/>
            <w:noWrap/>
            <w:vAlign w:val="center"/>
            <w:hideMark/>
          </w:tcPr>
          <w:p w14:paraId="69C18448"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10.447,39</w:t>
            </w:r>
          </w:p>
        </w:tc>
      </w:tr>
      <w:tr w:rsidR="00EA6933" w:rsidRPr="00EA6933" w14:paraId="0AAC71A6"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E1141BD"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8. Tečajne razlike i ostali financijski prihodi</w:t>
            </w:r>
          </w:p>
        </w:tc>
        <w:tc>
          <w:tcPr>
            <w:tcW w:w="691" w:type="dxa"/>
            <w:tcBorders>
              <w:top w:val="nil"/>
              <w:left w:val="nil"/>
              <w:bottom w:val="single" w:sz="4" w:space="0" w:color="C0C0C0"/>
              <w:right w:val="single" w:sz="4" w:space="0" w:color="auto"/>
            </w:tcBorders>
            <w:shd w:val="clear" w:color="auto" w:fill="auto"/>
            <w:noWrap/>
            <w:vAlign w:val="center"/>
            <w:hideMark/>
          </w:tcPr>
          <w:p w14:paraId="5713DDA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165</w:t>
            </w:r>
          </w:p>
        </w:tc>
        <w:tc>
          <w:tcPr>
            <w:tcW w:w="1694" w:type="dxa"/>
            <w:tcBorders>
              <w:top w:val="nil"/>
              <w:left w:val="nil"/>
              <w:bottom w:val="single" w:sz="4" w:space="0" w:color="C0C0C0"/>
              <w:right w:val="single" w:sz="4" w:space="0" w:color="auto"/>
            </w:tcBorders>
            <w:shd w:val="clear" w:color="auto" w:fill="auto"/>
            <w:noWrap/>
            <w:vAlign w:val="center"/>
            <w:hideMark/>
          </w:tcPr>
          <w:p w14:paraId="302B4262"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28,97</w:t>
            </w:r>
          </w:p>
        </w:tc>
        <w:tc>
          <w:tcPr>
            <w:tcW w:w="1701" w:type="dxa"/>
            <w:tcBorders>
              <w:top w:val="nil"/>
              <w:left w:val="nil"/>
              <w:bottom w:val="single" w:sz="4" w:space="0" w:color="C0C0C0"/>
              <w:right w:val="single" w:sz="4" w:space="0" w:color="auto"/>
            </w:tcBorders>
            <w:shd w:val="clear" w:color="auto" w:fill="auto"/>
            <w:noWrap/>
            <w:vAlign w:val="center"/>
            <w:hideMark/>
          </w:tcPr>
          <w:p w14:paraId="069E86F7"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0,00</w:t>
            </w:r>
          </w:p>
        </w:tc>
      </w:tr>
      <w:tr w:rsidR="00EA6933" w:rsidRPr="00EA6933" w14:paraId="472DD398"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8E1940F" w14:textId="77777777" w:rsidR="00EA6933" w:rsidRPr="00EA6933" w:rsidRDefault="00EA6933" w:rsidP="00EA6933">
            <w:pPr>
              <w:spacing w:after="0" w:line="240" w:lineRule="auto"/>
              <w:rPr>
                <w:rFonts w:ascii="Arial" w:eastAsia="Times New Roman" w:hAnsi="Arial" w:cs="Arial"/>
                <w:sz w:val="18"/>
                <w:szCs w:val="18"/>
                <w:lang w:eastAsia="hr-HR"/>
              </w:rPr>
            </w:pPr>
            <w:r w:rsidRPr="00EA6933">
              <w:rPr>
                <w:rFonts w:ascii="Arial" w:eastAsia="Times New Roman" w:hAnsi="Arial" w:cs="Arial"/>
                <w:sz w:val="18"/>
                <w:szCs w:val="18"/>
                <w:lang w:eastAsia="hr-HR"/>
              </w:rPr>
              <w:lastRenderedPageBreak/>
              <w:t xml:space="preserve">   10. Ostali financijski prihodi</w:t>
            </w:r>
          </w:p>
        </w:tc>
        <w:tc>
          <w:tcPr>
            <w:tcW w:w="691" w:type="dxa"/>
            <w:tcBorders>
              <w:top w:val="nil"/>
              <w:left w:val="nil"/>
              <w:bottom w:val="single" w:sz="4" w:space="0" w:color="C0C0C0"/>
              <w:right w:val="single" w:sz="4" w:space="0" w:color="auto"/>
            </w:tcBorders>
            <w:shd w:val="clear" w:color="auto" w:fill="auto"/>
            <w:noWrap/>
            <w:vAlign w:val="center"/>
            <w:hideMark/>
          </w:tcPr>
          <w:p w14:paraId="30F9F6FD"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167</w:t>
            </w:r>
          </w:p>
        </w:tc>
        <w:tc>
          <w:tcPr>
            <w:tcW w:w="1694" w:type="dxa"/>
            <w:tcBorders>
              <w:top w:val="nil"/>
              <w:left w:val="nil"/>
              <w:bottom w:val="single" w:sz="4" w:space="0" w:color="C0C0C0"/>
              <w:right w:val="single" w:sz="4" w:space="0" w:color="auto"/>
            </w:tcBorders>
            <w:shd w:val="clear" w:color="auto" w:fill="auto"/>
            <w:noWrap/>
            <w:vAlign w:val="center"/>
            <w:hideMark/>
          </w:tcPr>
          <w:p w14:paraId="00852533"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61,28</w:t>
            </w:r>
          </w:p>
        </w:tc>
        <w:tc>
          <w:tcPr>
            <w:tcW w:w="1701" w:type="dxa"/>
            <w:tcBorders>
              <w:top w:val="nil"/>
              <w:left w:val="nil"/>
              <w:bottom w:val="single" w:sz="4" w:space="0" w:color="C0C0C0"/>
              <w:right w:val="single" w:sz="4" w:space="0" w:color="auto"/>
            </w:tcBorders>
            <w:shd w:val="clear" w:color="auto" w:fill="auto"/>
            <w:noWrap/>
            <w:vAlign w:val="center"/>
            <w:hideMark/>
          </w:tcPr>
          <w:p w14:paraId="0EF0CE7A"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4.091,95</w:t>
            </w:r>
          </w:p>
        </w:tc>
      </w:tr>
      <w:tr w:rsidR="00EA6933" w:rsidRPr="00EA6933" w14:paraId="4EE23FCF"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41B592E"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IV. FINANCIJSKI RASHODI </w:t>
            </w:r>
            <w:r w:rsidRPr="00EA6933">
              <w:rPr>
                <w:rFonts w:ascii="Arial" w:eastAsia="Times New Roman" w:hAnsi="Arial" w:cs="Arial"/>
                <w:color w:val="333399"/>
                <w:sz w:val="18"/>
                <w:szCs w:val="18"/>
                <w:lang w:eastAsia="hr-HR"/>
              </w:rPr>
              <w:t>(AOP 169 do 175)</w:t>
            </w:r>
          </w:p>
        </w:tc>
        <w:tc>
          <w:tcPr>
            <w:tcW w:w="691" w:type="dxa"/>
            <w:tcBorders>
              <w:top w:val="nil"/>
              <w:left w:val="nil"/>
              <w:bottom w:val="single" w:sz="4" w:space="0" w:color="C0C0C0"/>
              <w:right w:val="single" w:sz="4" w:space="0" w:color="auto"/>
            </w:tcBorders>
            <w:shd w:val="clear" w:color="auto" w:fill="auto"/>
            <w:noWrap/>
            <w:vAlign w:val="center"/>
            <w:hideMark/>
          </w:tcPr>
          <w:p w14:paraId="68390B88"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168</w:t>
            </w:r>
          </w:p>
        </w:tc>
        <w:tc>
          <w:tcPr>
            <w:tcW w:w="1694" w:type="dxa"/>
            <w:tcBorders>
              <w:top w:val="nil"/>
              <w:left w:val="nil"/>
              <w:bottom w:val="single" w:sz="4" w:space="0" w:color="C0C0C0"/>
              <w:right w:val="single" w:sz="4" w:space="0" w:color="auto"/>
            </w:tcBorders>
            <w:shd w:val="clear" w:color="auto" w:fill="auto"/>
            <w:noWrap/>
            <w:vAlign w:val="center"/>
            <w:hideMark/>
          </w:tcPr>
          <w:p w14:paraId="6F7C47BB"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48.755,92</w:t>
            </w:r>
          </w:p>
        </w:tc>
        <w:tc>
          <w:tcPr>
            <w:tcW w:w="1701" w:type="dxa"/>
            <w:tcBorders>
              <w:top w:val="nil"/>
              <w:left w:val="nil"/>
              <w:bottom w:val="single" w:sz="4" w:space="0" w:color="C0C0C0"/>
              <w:right w:val="single" w:sz="4" w:space="0" w:color="auto"/>
            </w:tcBorders>
            <w:shd w:val="clear" w:color="auto" w:fill="auto"/>
            <w:noWrap/>
            <w:vAlign w:val="center"/>
            <w:hideMark/>
          </w:tcPr>
          <w:p w14:paraId="0DD8BD49"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62.972,65</w:t>
            </w:r>
          </w:p>
        </w:tc>
      </w:tr>
      <w:tr w:rsidR="00EA6933" w:rsidRPr="00EA6933" w14:paraId="7C84A53D"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811095E"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3. Rashodi s osnove kamata i slični rashodi</w:t>
            </w:r>
          </w:p>
        </w:tc>
        <w:tc>
          <w:tcPr>
            <w:tcW w:w="691" w:type="dxa"/>
            <w:tcBorders>
              <w:top w:val="nil"/>
              <w:left w:val="nil"/>
              <w:bottom w:val="single" w:sz="4" w:space="0" w:color="C0C0C0"/>
              <w:right w:val="single" w:sz="4" w:space="0" w:color="auto"/>
            </w:tcBorders>
            <w:shd w:val="clear" w:color="auto" w:fill="auto"/>
            <w:noWrap/>
            <w:vAlign w:val="center"/>
            <w:hideMark/>
          </w:tcPr>
          <w:p w14:paraId="20A1324B"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171</w:t>
            </w:r>
          </w:p>
        </w:tc>
        <w:tc>
          <w:tcPr>
            <w:tcW w:w="1694" w:type="dxa"/>
            <w:tcBorders>
              <w:top w:val="nil"/>
              <w:left w:val="nil"/>
              <w:bottom w:val="single" w:sz="4" w:space="0" w:color="C0C0C0"/>
              <w:right w:val="single" w:sz="4" w:space="0" w:color="auto"/>
            </w:tcBorders>
            <w:shd w:val="clear" w:color="auto" w:fill="auto"/>
            <w:noWrap/>
            <w:vAlign w:val="center"/>
            <w:hideMark/>
          </w:tcPr>
          <w:p w14:paraId="6313243C"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48.754,32</w:t>
            </w:r>
          </w:p>
        </w:tc>
        <w:tc>
          <w:tcPr>
            <w:tcW w:w="1701" w:type="dxa"/>
            <w:tcBorders>
              <w:top w:val="nil"/>
              <w:left w:val="nil"/>
              <w:bottom w:val="single" w:sz="4" w:space="0" w:color="C0C0C0"/>
              <w:right w:val="single" w:sz="4" w:space="0" w:color="auto"/>
            </w:tcBorders>
            <w:shd w:val="clear" w:color="auto" w:fill="auto"/>
            <w:noWrap/>
            <w:vAlign w:val="center"/>
            <w:hideMark/>
          </w:tcPr>
          <w:p w14:paraId="70620C74"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62.972,65</w:t>
            </w:r>
          </w:p>
        </w:tc>
      </w:tr>
      <w:tr w:rsidR="00EA6933" w:rsidRPr="00EA6933" w14:paraId="1D538F05"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7C412F8"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4. Tečajne razlike i drugi rashodi</w:t>
            </w:r>
          </w:p>
        </w:tc>
        <w:tc>
          <w:tcPr>
            <w:tcW w:w="691" w:type="dxa"/>
            <w:tcBorders>
              <w:top w:val="nil"/>
              <w:left w:val="nil"/>
              <w:bottom w:val="single" w:sz="4" w:space="0" w:color="C0C0C0"/>
              <w:right w:val="single" w:sz="4" w:space="0" w:color="auto"/>
            </w:tcBorders>
            <w:shd w:val="clear" w:color="auto" w:fill="auto"/>
            <w:noWrap/>
            <w:vAlign w:val="center"/>
            <w:hideMark/>
          </w:tcPr>
          <w:p w14:paraId="081866AD"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172</w:t>
            </w:r>
          </w:p>
        </w:tc>
        <w:tc>
          <w:tcPr>
            <w:tcW w:w="1694" w:type="dxa"/>
            <w:tcBorders>
              <w:top w:val="nil"/>
              <w:left w:val="nil"/>
              <w:bottom w:val="single" w:sz="4" w:space="0" w:color="C0C0C0"/>
              <w:right w:val="single" w:sz="4" w:space="0" w:color="auto"/>
            </w:tcBorders>
            <w:shd w:val="clear" w:color="auto" w:fill="auto"/>
            <w:noWrap/>
            <w:vAlign w:val="center"/>
            <w:hideMark/>
          </w:tcPr>
          <w:p w14:paraId="2B279F44"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1,60</w:t>
            </w:r>
          </w:p>
        </w:tc>
        <w:tc>
          <w:tcPr>
            <w:tcW w:w="1701" w:type="dxa"/>
            <w:tcBorders>
              <w:top w:val="nil"/>
              <w:left w:val="nil"/>
              <w:bottom w:val="single" w:sz="4" w:space="0" w:color="C0C0C0"/>
              <w:right w:val="single" w:sz="4" w:space="0" w:color="auto"/>
            </w:tcBorders>
            <w:shd w:val="clear" w:color="auto" w:fill="auto"/>
            <w:noWrap/>
            <w:vAlign w:val="center"/>
            <w:hideMark/>
          </w:tcPr>
          <w:p w14:paraId="2A15B1D2" w14:textId="77777777" w:rsidR="00EA6933" w:rsidRPr="00EA6933" w:rsidRDefault="00EA6933" w:rsidP="00EA6933">
            <w:pPr>
              <w:spacing w:after="0" w:line="240" w:lineRule="auto"/>
              <w:jc w:val="center"/>
              <w:rPr>
                <w:rFonts w:ascii="Arial" w:eastAsia="Times New Roman" w:hAnsi="Arial" w:cs="Arial"/>
                <w:sz w:val="18"/>
                <w:szCs w:val="18"/>
                <w:lang w:eastAsia="hr-HR"/>
              </w:rPr>
            </w:pPr>
          </w:p>
        </w:tc>
      </w:tr>
      <w:tr w:rsidR="00EA6933" w:rsidRPr="00EA6933" w14:paraId="78A385A9"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44B2AE9"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7. Ostali financijski rashodi</w:t>
            </w:r>
          </w:p>
        </w:tc>
        <w:tc>
          <w:tcPr>
            <w:tcW w:w="691" w:type="dxa"/>
            <w:tcBorders>
              <w:top w:val="nil"/>
              <w:left w:val="nil"/>
              <w:bottom w:val="single" w:sz="4" w:space="0" w:color="C0C0C0"/>
              <w:right w:val="single" w:sz="4" w:space="0" w:color="auto"/>
            </w:tcBorders>
            <w:shd w:val="clear" w:color="auto" w:fill="auto"/>
            <w:noWrap/>
            <w:vAlign w:val="center"/>
            <w:hideMark/>
          </w:tcPr>
          <w:p w14:paraId="52B9EC7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175</w:t>
            </w:r>
          </w:p>
        </w:tc>
        <w:tc>
          <w:tcPr>
            <w:tcW w:w="1694" w:type="dxa"/>
            <w:tcBorders>
              <w:top w:val="nil"/>
              <w:left w:val="nil"/>
              <w:bottom w:val="single" w:sz="4" w:space="0" w:color="C0C0C0"/>
              <w:right w:val="single" w:sz="4" w:space="0" w:color="auto"/>
            </w:tcBorders>
            <w:shd w:val="clear" w:color="auto" w:fill="auto"/>
            <w:noWrap/>
            <w:vAlign w:val="center"/>
            <w:hideMark/>
          </w:tcPr>
          <w:p w14:paraId="41B22198"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0,00</w:t>
            </w:r>
          </w:p>
        </w:tc>
        <w:tc>
          <w:tcPr>
            <w:tcW w:w="1701" w:type="dxa"/>
            <w:tcBorders>
              <w:top w:val="nil"/>
              <w:left w:val="nil"/>
              <w:bottom w:val="single" w:sz="4" w:space="0" w:color="C0C0C0"/>
              <w:right w:val="single" w:sz="4" w:space="0" w:color="auto"/>
            </w:tcBorders>
            <w:shd w:val="clear" w:color="auto" w:fill="auto"/>
            <w:noWrap/>
            <w:vAlign w:val="center"/>
            <w:hideMark/>
          </w:tcPr>
          <w:p w14:paraId="69BFA82C" w14:textId="77777777" w:rsidR="00EA6933" w:rsidRPr="00EA6933" w:rsidRDefault="00EA6933" w:rsidP="00EA6933">
            <w:pPr>
              <w:spacing w:after="0" w:line="240" w:lineRule="auto"/>
              <w:jc w:val="center"/>
              <w:rPr>
                <w:rFonts w:ascii="Arial" w:eastAsia="Times New Roman" w:hAnsi="Arial" w:cs="Arial"/>
                <w:sz w:val="18"/>
                <w:szCs w:val="18"/>
                <w:lang w:eastAsia="hr-HR"/>
              </w:rPr>
            </w:pPr>
            <w:r w:rsidRPr="00EA6933">
              <w:rPr>
                <w:rFonts w:ascii="Arial" w:eastAsia="Times New Roman" w:hAnsi="Arial" w:cs="Arial"/>
                <w:sz w:val="18"/>
                <w:szCs w:val="18"/>
                <w:lang w:eastAsia="hr-HR"/>
              </w:rPr>
              <w:t>0,00</w:t>
            </w:r>
          </w:p>
        </w:tc>
      </w:tr>
      <w:tr w:rsidR="00EA6933" w:rsidRPr="00EA6933" w14:paraId="36B77712"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B813263"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IX.   UKUPNI PRIHODI </w:t>
            </w:r>
            <w:r w:rsidRPr="00EA6933">
              <w:rPr>
                <w:rFonts w:ascii="Arial" w:eastAsia="Times New Roman" w:hAnsi="Arial" w:cs="Arial"/>
                <w:color w:val="333399"/>
                <w:sz w:val="18"/>
                <w:szCs w:val="18"/>
                <w:lang w:eastAsia="hr-HR"/>
              </w:rPr>
              <w:t>(AOP 128+157+176 + 177)</w:t>
            </w:r>
          </w:p>
        </w:tc>
        <w:tc>
          <w:tcPr>
            <w:tcW w:w="691" w:type="dxa"/>
            <w:tcBorders>
              <w:top w:val="nil"/>
              <w:left w:val="nil"/>
              <w:bottom w:val="single" w:sz="4" w:space="0" w:color="C0C0C0"/>
              <w:right w:val="single" w:sz="4" w:space="0" w:color="auto"/>
            </w:tcBorders>
            <w:shd w:val="clear" w:color="auto" w:fill="auto"/>
            <w:noWrap/>
            <w:vAlign w:val="center"/>
            <w:hideMark/>
          </w:tcPr>
          <w:p w14:paraId="2677094F"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180</w:t>
            </w:r>
          </w:p>
        </w:tc>
        <w:tc>
          <w:tcPr>
            <w:tcW w:w="1694" w:type="dxa"/>
            <w:tcBorders>
              <w:top w:val="nil"/>
              <w:left w:val="nil"/>
              <w:bottom w:val="single" w:sz="4" w:space="0" w:color="C0C0C0"/>
              <w:right w:val="single" w:sz="4" w:space="0" w:color="auto"/>
            </w:tcBorders>
            <w:shd w:val="clear" w:color="auto" w:fill="auto"/>
            <w:noWrap/>
            <w:vAlign w:val="center"/>
            <w:hideMark/>
          </w:tcPr>
          <w:p w14:paraId="3FACF397"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12.880.949,91</w:t>
            </w:r>
          </w:p>
        </w:tc>
        <w:tc>
          <w:tcPr>
            <w:tcW w:w="1701" w:type="dxa"/>
            <w:tcBorders>
              <w:top w:val="nil"/>
              <w:left w:val="nil"/>
              <w:bottom w:val="single" w:sz="4" w:space="0" w:color="C0C0C0"/>
              <w:right w:val="single" w:sz="4" w:space="0" w:color="auto"/>
            </w:tcBorders>
            <w:shd w:val="clear" w:color="auto" w:fill="auto"/>
            <w:noWrap/>
            <w:vAlign w:val="center"/>
            <w:hideMark/>
          </w:tcPr>
          <w:p w14:paraId="6909C42A"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16.395.777,63</w:t>
            </w:r>
          </w:p>
        </w:tc>
      </w:tr>
      <w:tr w:rsidR="00EA6933" w:rsidRPr="00EA6933" w14:paraId="324E57BA"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75FB206"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X.    UKUPNI RASHODI </w:t>
            </w:r>
            <w:r w:rsidRPr="00EA6933">
              <w:rPr>
                <w:rFonts w:ascii="Arial" w:eastAsia="Times New Roman" w:hAnsi="Arial" w:cs="Arial"/>
                <w:color w:val="333399"/>
                <w:sz w:val="18"/>
                <w:szCs w:val="18"/>
                <w:lang w:eastAsia="hr-HR"/>
              </w:rPr>
              <w:t>(AOP 134+168+178 + 179)</w:t>
            </w:r>
          </w:p>
        </w:tc>
        <w:tc>
          <w:tcPr>
            <w:tcW w:w="691" w:type="dxa"/>
            <w:tcBorders>
              <w:top w:val="nil"/>
              <w:left w:val="nil"/>
              <w:bottom w:val="single" w:sz="4" w:space="0" w:color="C0C0C0"/>
              <w:right w:val="single" w:sz="4" w:space="0" w:color="auto"/>
            </w:tcBorders>
            <w:shd w:val="clear" w:color="auto" w:fill="auto"/>
            <w:noWrap/>
            <w:vAlign w:val="center"/>
            <w:hideMark/>
          </w:tcPr>
          <w:p w14:paraId="6D3D6AC4"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181</w:t>
            </w:r>
          </w:p>
        </w:tc>
        <w:tc>
          <w:tcPr>
            <w:tcW w:w="1694" w:type="dxa"/>
            <w:tcBorders>
              <w:top w:val="nil"/>
              <w:left w:val="nil"/>
              <w:bottom w:val="single" w:sz="4" w:space="0" w:color="C0C0C0"/>
              <w:right w:val="single" w:sz="4" w:space="0" w:color="auto"/>
            </w:tcBorders>
            <w:shd w:val="clear" w:color="auto" w:fill="auto"/>
            <w:noWrap/>
            <w:vAlign w:val="center"/>
            <w:hideMark/>
          </w:tcPr>
          <w:p w14:paraId="6835D231"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12.875.513,14</w:t>
            </w:r>
          </w:p>
        </w:tc>
        <w:tc>
          <w:tcPr>
            <w:tcW w:w="1701" w:type="dxa"/>
            <w:tcBorders>
              <w:top w:val="nil"/>
              <w:left w:val="nil"/>
              <w:bottom w:val="single" w:sz="4" w:space="0" w:color="C0C0C0"/>
              <w:right w:val="single" w:sz="4" w:space="0" w:color="auto"/>
            </w:tcBorders>
            <w:shd w:val="clear" w:color="auto" w:fill="auto"/>
            <w:noWrap/>
            <w:vAlign w:val="center"/>
            <w:hideMark/>
          </w:tcPr>
          <w:p w14:paraId="73CD9EB4"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16.346.210,96</w:t>
            </w:r>
          </w:p>
        </w:tc>
      </w:tr>
      <w:tr w:rsidR="00EA6933" w:rsidRPr="00EA6933" w14:paraId="6E30CAA8"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28849A0"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XI.   DOBIT ILI GUBITAK PRIJE OPOREZIVANJA </w:t>
            </w:r>
            <w:r w:rsidRPr="00EA6933">
              <w:rPr>
                <w:rFonts w:ascii="Arial" w:eastAsia="Times New Roman" w:hAnsi="Arial" w:cs="Arial"/>
                <w:color w:val="333399"/>
                <w:sz w:val="18"/>
                <w:szCs w:val="18"/>
                <w:lang w:eastAsia="hr-HR"/>
              </w:rPr>
              <w:t>(AOP 180-181)</w:t>
            </w:r>
          </w:p>
        </w:tc>
        <w:tc>
          <w:tcPr>
            <w:tcW w:w="691" w:type="dxa"/>
            <w:tcBorders>
              <w:top w:val="nil"/>
              <w:left w:val="nil"/>
              <w:bottom w:val="single" w:sz="4" w:space="0" w:color="C0C0C0"/>
              <w:right w:val="single" w:sz="4" w:space="0" w:color="auto"/>
            </w:tcBorders>
            <w:shd w:val="clear" w:color="auto" w:fill="auto"/>
            <w:noWrap/>
            <w:vAlign w:val="center"/>
            <w:hideMark/>
          </w:tcPr>
          <w:p w14:paraId="417D2471"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182</w:t>
            </w:r>
          </w:p>
        </w:tc>
        <w:tc>
          <w:tcPr>
            <w:tcW w:w="1694" w:type="dxa"/>
            <w:tcBorders>
              <w:top w:val="nil"/>
              <w:left w:val="nil"/>
              <w:bottom w:val="single" w:sz="4" w:space="0" w:color="C0C0C0"/>
              <w:right w:val="single" w:sz="4" w:space="0" w:color="auto"/>
            </w:tcBorders>
            <w:shd w:val="clear" w:color="auto" w:fill="auto"/>
            <w:noWrap/>
            <w:vAlign w:val="center"/>
            <w:hideMark/>
          </w:tcPr>
          <w:p w14:paraId="78EBC80F"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5.436,77</w:t>
            </w:r>
          </w:p>
        </w:tc>
        <w:tc>
          <w:tcPr>
            <w:tcW w:w="1701" w:type="dxa"/>
            <w:tcBorders>
              <w:top w:val="nil"/>
              <w:left w:val="nil"/>
              <w:bottom w:val="single" w:sz="4" w:space="0" w:color="C0C0C0"/>
              <w:right w:val="single" w:sz="4" w:space="0" w:color="auto"/>
            </w:tcBorders>
            <w:shd w:val="clear" w:color="auto" w:fill="auto"/>
            <w:noWrap/>
            <w:vAlign w:val="center"/>
            <w:hideMark/>
          </w:tcPr>
          <w:p w14:paraId="0866E376"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49.566,67</w:t>
            </w:r>
          </w:p>
        </w:tc>
      </w:tr>
      <w:tr w:rsidR="00EA6933" w:rsidRPr="00EA6933" w14:paraId="6A4F3237"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0DB6FFD"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 Dobit prije oporezivanja (AOP 180-181)</w:t>
            </w:r>
          </w:p>
        </w:tc>
        <w:tc>
          <w:tcPr>
            <w:tcW w:w="691" w:type="dxa"/>
            <w:tcBorders>
              <w:top w:val="nil"/>
              <w:left w:val="nil"/>
              <w:bottom w:val="single" w:sz="4" w:space="0" w:color="C0C0C0"/>
              <w:right w:val="single" w:sz="4" w:space="0" w:color="auto"/>
            </w:tcBorders>
            <w:shd w:val="clear" w:color="auto" w:fill="auto"/>
            <w:noWrap/>
            <w:vAlign w:val="center"/>
            <w:hideMark/>
          </w:tcPr>
          <w:p w14:paraId="5D64188C"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183</w:t>
            </w:r>
          </w:p>
        </w:tc>
        <w:tc>
          <w:tcPr>
            <w:tcW w:w="1694" w:type="dxa"/>
            <w:tcBorders>
              <w:top w:val="nil"/>
              <w:left w:val="nil"/>
              <w:bottom w:val="single" w:sz="4" w:space="0" w:color="C0C0C0"/>
              <w:right w:val="single" w:sz="4" w:space="0" w:color="auto"/>
            </w:tcBorders>
            <w:shd w:val="clear" w:color="auto" w:fill="auto"/>
            <w:noWrap/>
            <w:vAlign w:val="center"/>
            <w:hideMark/>
          </w:tcPr>
          <w:p w14:paraId="640E9251"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5.436,77</w:t>
            </w:r>
          </w:p>
        </w:tc>
        <w:tc>
          <w:tcPr>
            <w:tcW w:w="1701" w:type="dxa"/>
            <w:tcBorders>
              <w:top w:val="nil"/>
              <w:left w:val="nil"/>
              <w:bottom w:val="single" w:sz="4" w:space="0" w:color="C0C0C0"/>
              <w:right w:val="single" w:sz="4" w:space="0" w:color="auto"/>
            </w:tcBorders>
            <w:shd w:val="clear" w:color="auto" w:fill="auto"/>
            <w:noWrap/>
            <w:vAlign w:val="center"/>
            <w:hideMark/>
          </w:tcPr>
          <w:p w14:paraId="1E101701"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49.566,67</w:t>
            </w:r>
          </w:p>
        </w:tc>
      </w:tr>
      <w:tr w:rsidR="00EA6933" w:rsidRPr="00EA6933" w14:paraId="6B317240"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B46524D"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Gubitak prije oporezivanja (AOP 181-180)</w:t>
            </w:r>
          </w:p>
        </w:tc>
        <w:tc>
          <w:tcPr>
            <w:tcW w:w="691" w:type="dxa"/>
            <w:tcBorders>
              <w:top w:val="nil"/>
              <w:left w:val="nil"/>
              <w:bottom w:val="single" w:sz="4" w:space="0" w:color="C0C0C0"/>
              <w:right w:val="single" w:sz="4" w:space="0" w:color="auto"/>
            </w:tcBorders>
            <w:shd w:val="clear" w:color="auto" w:fill="auto"/>
            <w:noWrap/>
            <w:vAlign w:val="center"/>
            <w:hideMark/>
          </w:tcPr>
          <w:p w14:paraId="53D04A82"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184</w:t>
            </w:r>
          </w:p>
        </w:tc>
        <w:tc>
          <w:tcPr>
            <w:tcW w:w="1694" w:type="dxa"/>
            <w:tcBorders>
              <w:top w:val="nil"/>
              <w:left w:val="nil"/>
              <w:bottom w:val="single" w:sz="4" w:space="0" w:color="C0C0C0"/>
              <w:right w:val="single" w:sz="4" w:space="0" w:color="auto"/>
            </w:tcBorders>
            <w:shd w:val="clear" w:color="auto" w:fill="auto"/>
            <w:noWrap/>
            <w:vAlign w:val="center"/>
            <w:hideMark/>
          </w:tcPr>
          <w:p w14:paraId="78C744D9"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0,00</w:t>
            </w:r>
          </w:p>
        </w:tc>
        <w:tc>
          <w:tcPr>
            <w:tcW w:w="1701" w:type="dxa"/>
            <w:tcBorders>
              <w:top w:val="nil"/>
              <w:left w:val="nil"/>
              <w:bottom w:val="single" w:sz="4" w:space="0" w:color="C0C0C0"/>
              <w:right w:val="single" w:sz="4" w:space="0" w:color="auto"/>
            </w:tcBorders>
            <w:shd w:val="clear" w:color="auto" w:fill="auto"/>
            <w:noWrap/>
            <w:vAlign w:val="center"/>
            <w:hideMark/>
          </w:tcPr>
          <w:p w14:paraId="0FA9410E"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0,00</w:t>
            </w:r>
          </w:p>
        </w:tc>
      </w:tr>
      <w:tr w:rsidR="00EA6933" w:rsidRPr="00EA6933" w14:paraId="086F60E0"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2F8FBFB"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XII.  POREZ NA DOBIT</w:t>
            </w:r>
          </w:p>
        </w:tc>
        <w:tc>
          <w:tcPr>
            <w:tcW w:w="691" w:type="dxa"/>
            <w:tcBorders>
              <w:top w:val="nil"/>
              <w:left w:val="nil"/>
              <w:bottom w:val="single" w:sz="4" w:space="0" w:color="C0C0C0"/>
              <w:right w:val="single" w:sz="4" w:space="0" w:color="auto"/>
            </w:tcBorders>
            <w:shd w:val="clear" w:color="auto" w:fill="auto"/>
            <w:noWrap/>
            <w:vAlign w:val="center"/>
            <w:hideMark/>
          </w:tcPr>
          <w:p w14:paraId="04E7BA68"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185</w:t>
            </w:r>
          </w:p>
        </w:tc>
        <w:tc>
          <w:tcPr>
            <w:tcW w:w="1694" w:type="dxa"/>
            <w:tcBorders>
              <w:top w:val="nil"/>
              <w:left w:val="nil"/>
              <w:bottom w:val="single" w:sz="4" w:space="0" w:color="C0C0C0"/>
              <w:right w:val="single" w:sz="4" w:space="0" w:color="auto"/>
            </w:tcBorders>
            <w:shd w:val="clear" w:color="auto" w:fill="auto"/>
            <w:noWrap/>
            <w:vAlign w:val="center"/>
            <w:hideMark/>
          </w:tcPr>
          <w:p w14:paraId="48E6E2AD" w14:textId="77777777" w:rsidR="00EA6933" w:rsidRPr="00EA6933" w:rsidRDefault="00EA6933" w:rsidP="00EA6933">
            <w:pPr>
              <w:spacing w:after="0" w:line="240" w:lineRule="auto"/>
              <w:jc w:val="center"/>
              <w:rPr>
                <w:rFonts w:ascii="Arial" w:eastAsia="Times New Roman" w:hAnsi="Arial" w:cs="Arial"/>
                <w:sz w:val="18"/>
                <w:szCs w:val="18"/>
                <w:lang w:eastAsia="hr-HR"/>
              </w:rPr>
            </w:pPr>
          </w:p>
        </w:tc>
        <w:tc>
          <w:tcPr>
            <w:tcW w:w="1701" w:type="dxa"/>
            <w:tcBorders>
              <w:top w:val="nil"/>
              <w:left w:val="nil"/>
              <w:bottom w:val="single" w:sz="4" w:space="0" w:color="C0C0C0"/>
              <w:right w:val="single" w:sz="4" w:space="0" w:color="auto"/>
            </w:tcBorders>
            <w:shd w:val="clear" w:color="auto" w:fill="auto"/>
            <w:noWrap/>
            <w:vAlign w:val="center"/>
            <w:hideMark/>
          </w:tcPr>
          <w:p w14:paraId="5C92D7D8" w14:textId="77777777" w:rsidR="00EA6933" w:rsidRPr="00EA6933" w:rsidRDefault="00EA6933" w:rsidP="00EA6933">
            <w:pPr>
              <w:spacing w:after="0" w:line="240" w:lineRule="auto"/>
              <w:jc w:val="center"/>
              <w:rPr>
                <w:rFonts w:ascii="Arial" w:eastAsia="Times New Roman" w:hAnsi="Arial" w:cs="Arial"/>
                <w:sz w:val="18"/>
                <w:szCs w:val="18"/>
                <w:lang w:eastAsia="hr-HR"/>
              </w:rPr>
            </w:pPr>
          </w:p>
        </w:tc>
      </w:tr>
      <w:tr w:rsidR="00EA6933" w:rsidRPr="00EA6933" w14:paraId="4C996735"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3E417F7" w14:textId="77777777" w:rsidR="00EA6933" w:rsidRPr="00EA6933" w:rsidRDefault="00EA6933" w:rsidP="00EA6933">
            <w:pPr>
              <w:spacing w:after="0" w:line="240" w:lineRule="auto"/>
              <w:rPr>
                <w:rFonts w:ascii="Arial" w:eastAsia="Times New Roman" w:hAnsi="Arial" w:cs="Arial"/>
                <w:b/>
                <w:bCs/>
                <w:color w:val="333399"/>
                <w:sz w:val="18"/>
                <w:szCs w:val="18"/>
                <w:lang w:eastAsia="hr-HR"/>
              </w:rPr>
            </w:pPr>
            <w:r w:rsidRPr="00EA6933">
              <w:rPr>
                <w:rFonts w:ascii="Arial" w:eastAsia="Times New Roman" w:hAnsi="Arial" w:cs="Arial"/>
                <w:b/>
                <w:bCs/>
                <w:color w:val="333399"/>
                <w:sz w:val="18"/>
                <w:szCs w:val="18"/>
                <w:lang w:eastAsia="hr-HR"/>
              </w:rPr>
              <w:t xml:space="preserve">XIII. DOBIT ILI GUBITAK RAZDOBLJA </w:t>
            </w:r>
            <w:r w:rsidRPr="00EA6933">
              <w:rPr>
                <w:rFonts w:ascii="Arial" w:eastAsia="Times New Roman" w:hAnsi="Arial" w:cs="Arial"/>
                <w:color w:val="333399"/>
                <w:sz w:val="18"/>
                <w:szCs w:val="18"/>
                <w:lang w:eastAsia="hr-HR"/>
              </w:rPr>
              <w:t>(AOP 182-185)</w:t>
            </w:r>
          </w:p>
        </w:tc>
        <w:tc>
          <w:tcPr>
            <w:tcW w:w="691" w:type="dxa"/>
            <w:tcBorders>
              <w:top w:val="nil"/>
              <w:left w:val="nil"/>
              <w:bottom w:val="single" w:sz="4" w:space="0" w:color="C0C0C0"/>
              <w:right w:val="single" w:sz="4" w:space="0" w:color="auto"/>
            </w:tcBorders>
            <w:shd w:val="clear" w:color="auto" w:fill="auto"/>
            <w:noWrap/>
            <w:vAlign w:val="center"/>
            <w:hideMark/>
          </w:tcPr>
          <w:p w14:paraId="5078271C" w14:textId="77777777" w:rsidR="00EA6933" w:rsidRPr="00EA6933" w:rsidRDefault="00EA6933" w:rsidP="00EA6933">
            <w:pPr>
              <w:spacing w:after="0" w:line="240" w:lineRule="auto"/>
              <w:jc w:val="center"/>
              <w:rPr>
                <w:rFonts w:ascii="Arial" w:eastAsia="Times New Roman" w:hAnsi="Arial" w:cs="Arial"/>
                <w:b/>
                <w:bCs/>
                <w:color w:val="993300"/>
                <w:sz w:val="18"/>
                <w:szCs w:val="18"/>
                <w:lang w:eastAsia="hr-HR"/>
              </w:rPr>
            </w:pPr>
            <w:r w:rsidRPr="00EA6933">
              <w:rPr>
                <w:rFonts w:ascii="Arial" w:eastAsia="Times New Roman" w:hAnsi="Arial" w:cs="Arial"/>
                <w:b/>
                <w:bCs/>
                <w:color w:val="993300"/>
                <w:sz w:val="18"/>
                <w:szCs w:val="18"/>
                <w:lang w:eastAsia="hr-HR"/>
              </w:rPr>
              <w:t>186</w:t>
            </w:r>
          </w:p>
        </w:tc>
        <w:tc>
          <w:tcPr>
            <w:tcW w:w="1694" w:type="dxa"/>
            <w:tcBorders>
              <w:top w:val="nil"/>
              <w:left w:val="nil"/>
              <w:bottom w:val="single" w:sz="4" w:space="0" w:color="C0C0C0"/>
              <w:right w:val="single" w:sz="4" w:space="0" w:color="auto"/>
            </w:tcBorders>
            <w:shd w:val="clear" w:color="auto" w:fill="auto"/>
            <w:noWrap/>
            <w:vAlign w:val="center"/>
            <w:hideMark/>
          </w:tcPr>
          <w:p w14:paraId="2C8148D8"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5.436,77</w:t>
            </w:r>
          </w:p>
        </w:tc>
        <w:tc>
          <w:tcPr>
            <w:tcW w:w="1701" w:type="dxa"/>
            <w:tcBorders>
              <w:top w:val="nil"/>
              <w:left w:val="nil"/>
              <w:bottom w:val="single" w:sz="4" w:space="0" w:color="C0C0C0"/>
              <w:right w:val="single" w:sz="4" w:space="0" w:color="auto"/>
            </w:tcBorders>
            <w:shd w:val="clear" w:color="auto" w:fill="auto"/>
            <w:noWrap/>
            <w:vAlign w:val="center"/>
            <w:hideMark/>
          </w:tcPr>
          <w:p w14:paraId="76D460FB"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49.566,67</w:t>
            </w:r>
          </w:p>
        </w:tc>
      </w:tr>
      <w:tr w:rsidR="00EA6933" w:rsidRPr="00EA6933" w14:paraId="2C3738B9" w14:textId="77777777" w:rsidTr="00A853FC">
        <w:trPr>
          <w:trHeight w:val="288"/>
        </w:trPr>
        <w:tc>
          <w:tcPr>
            <w:tcW w:w="5407"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41936FE"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1. Dobit razdoblja (AOP 182-185)</w:t>
            </w:r>
          </w:p>
        </w:tc>
        <w:tc>
          <w:tcPr>
            <w:tcW w:w="691" w:type="dxa"/>
            <w:tcBorders>
              <w:top w:val="nil"/>
              <w:left w:val="nil"/>
              <w:bottom w:val="single" w:sz="4" w:space="0" w:color="C0C0C0"/>
              <w:right w:val="single" w:sz="4" w:space="0" w:color="auto"/>
            </w:tcBorders>
            <w:shd w:val="clear" w:color="auto" w:fill="auto"/>
            <w:noWrap/>
            <w:vAlign w:val="center"/>
            <w:hideMark/>
          </w:tcPr>
          <w:p w14:paraId="465F86D7"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187</w:t>
            </w:r>
          </w:p>
        </w:tc>
        <w:tc>
          <w:tcPr>
            <w:tcW w:w="1694" w:type="dxa"/>
            <w:tcBorders>
              <w:top w:val="nil"/>
              <w:left w:val="nil"/>
              <w:bottom w:val="single" w:sz="4" w:space="0" w:color="C0C0C0"/>
              <w:right w:val="single" w:sz="4" w:space="0" w:color="auto"/>
            </w:tcBorders>
            <w:shd w:val="clear" w:color="auto" w:fill="auto"/>
            <w:noWrap/>
            <w:vAlign w:val="center"/>
            <w:hideMark/>
          </w:tcPr>
          <w:p w14:paraId="59C4B467"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5.436,77</w:t>
            </w:r>
          </w:p>
        </w:tc>
        <w:tc>
          <w:tcPr>
            <w:tcW w:w="1701" w:type="dxa"/>
            <w:tcBorders>
              <w:top w:val="nil"/>
              <w:left w:val="nil"/>
              <w:bottom w:val="single" w:sz="4" w:space="0" w:color="C0C0C0"/>
              <w:right w:val="single" w:sz="4" w:space="0" w:color="auto"/>
            </w:tcBorders>
            <w:shd w:val="clear" w:color="auto" w:fill="auto"/>
            <w:noWrap/>
            <w:vAlign w:val="center"/>
            <w:hideMark/>
          </w:tcPr>
          <w:p w14:paraId="6A49CC80"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49.566,67</w:t>
            </w:r>
          </w:p>
        </w:tc>
      </w:tr>
      <w:tr w:rsidR="00EA6933" w:rsidRPr="00EA6933" w14:paraId="01E1941B" w14:textId="77777777" w:rsidTr="00A853FC">
        <w:trPr>
          <w:trHeight w:val="288"/>
        </w:trPr>
        <w:tc>
          <w:tcPr>
            <w:tcW w:w="5407"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5D87CC19" w14:textId="77777777" w:rsidR="00EA6933" w:rsidRPr="00EA6933" w:rsidRDefault="00EA6933" w:rsidP="00EA6933">
            <w:pPr>
              <w:spacing w:after="0" w:line="240" w:lineRule="auto"/>
              <w:ind w:firstLineChars="100" w:firstLine="180"/>
              <w:rPr>
                <w:rFonts w:ascii="Arial" w:eastAsia="Times New Roman" w:hAnsi="Arial" w:cs="Arial"/>
                <w:sz w:val="18"/>
                <w:szCs w:val="18"/>
                <w:lang w:eastAsia="hr-HR"/>
              </w:rPr>
            </w:pPr>
            <w:r w:rsidRPr="00EA6933">
              <w:rPr>
                <w:rFonts w:ascii="Arial" w:eastAsia="Times New Roman" w:hAnsi="Arial" w:cs="Arial"/>
                <w:sz w:val="18"/>
                <w:szCs w:val="18"/>
                <w:lang w:eastAsia="hr-HR"/>
              </w:rPr>
              <w:t xml:space="preserve">  2. Gubitak razdoblja (AOP 185-182)</w:t>
            </w:r>
          </w:p>
        </w:tc>
        <w:tc>
          <w:tcPr>
            <w:tcW w:w="691" w:type="dxa"/>
            <w:tcBorders>
              <w:top w:val="nil"/>
              <w:left w:val="nil"/>
              <w:bottom w:val="single" w:sz="4" w:space="0" w:color="auto"/>
              <w:right w:val="single" w:sz="4" w:space="0" w:color="auto"/>
            </w:tcBorders>
            <w:shd w:val="clear" w:color="auto" w:fill="auto"/>
            <w:noWrap/>
            <w:vAlign w:val="center"/>
            <w:hideMark/>
          </w:tcPr>
          <w:p w14:paraId="3DADD271" w14:textId="77777777" w:rsidR="00EA6933" w:rsidRPr="00EA6933" w:rsidRDefault="00EA6933" w:rsidP="00EA6933">
            <w:pPr>
              <w:spacing w:after="0" w:line="240" w:lineRule="auto"/>
              <w:jc w:val="center"/>
              <w:rPr>
                <w:rFonts w:ascii="Arial" w:eastAsia="Times New Roman" w:hAnsi="Arial" w:cs="Arial"/>
                <w:b/>
                <w:bCs/>
                <w:sz w:val="18"/>
                <w:szCs w:val="18"/>
                <w:lang w:eastAsia="hr-HR"/>
              </w:rPr>
            </w:pPr>
            <w:r w:rsidRPr="00EA6933">
              <w:rPr>
                <w:rFonts w:ascii="Arial" w:eastAsia="Times New Roman" w:hAnsi="Arial" w:cs="Arial"/>
                <w:b/>
                <w:bCs/>
                <w:sz w:val="18"/>
                <w:szCs w:val="18"/>
                <w:lang w:eastAsia="hr-HR"/>
              </w:rPr>
              <w:t>188</w:t>
            </w:r>
          </w:p>
        </w:tc>
        <w:tc>
          <w:tcPr>
            <w:tcW w:w="1694" w:type="dxa"/>
            <w:tcBorders>
              <w:top w:val="nil"/>
              <w:left w:val="nil"/>
              <w:bottom w:val="single" w:sz="4" w:space="0" w:color="auto"/>
              <w:right w:val="single" w:sz="4" w:space="0" w:color="auto"/>
            </w:tcBorders>
            <w:shd w:val="clear" w:color="auto" w:fill="auto"/>
            <w:noWrap/>
            <w:vAlign w:val="center"/>
            <w:hideMark/>
          </w:tcPr>
          <w:p w14:paraId="506F2073"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23CCF17" w14:textId="77777777" w:rsidR="00EA6933" w:rsidRPr="00EA6933" w:rsidRDefault="00EA6933" w:rsidP="00EA6933">
            <w:pPr>
              <w:spacing w:after="0" w:line="240" w:lineRule="auto"/>
              <w:jc w:val="center"/>
              <w:rPr>
                <w:rFonts w:ascii="Arial" w:eastAsia="Times New Roman" w:hAnsi="Arial" w:cs="Arial"/>
                <w:color w:val="0000FF"/>
                <w:sz w:val="18"/>
                <w:szCs w:val="18"/>
                <w:lang w:eastAsia="hr-HR"/>
              </w:rPr>
            </w:pPr>
            <w:r w:rsidRPr="00EA6933">
              <w:rPr>
                <w:rFonts w:ascii="Arial" w:eastAsia="Times New Roman" w:hAnsi="Arial" w:cs="Arial"/>
                <w:color w:val="0000FF"/>
                <w:sz w:val="18"/>
                <w:szCs w:val="18"/>
                <w:lang w:eastAsia="hr-HR"/>
              </w:rPr>
              <w:t>0,00</w:t>
            </w:r>
          </w:p>
        </w:tc>
      </w:tr>
    </w:tbl>
    <w:p w14:paraId="2B6AF1B0" w14:textId="77777777" w:rsidR="00EA6933" w:rsidRPr="00EA6933" w:rsidRDefault="00EA6933" w:rsidP="00EA6933">
      <w:pPr>
        <w:spacing w:line="312" w:lineRule="auto"/>
        <w:ind w:left="-850"/>
        <w:rPr>
          <w:rFonts w:ascii="Calibri" w:eastAsia="Times New Roman" w:hAnsi="Calibri" w:cs="Times New Roman"/>
          <w:sz w:val="21"/>
          <w:szCs w:val="21"/>
        </w:rPr>
      </w:pPr>
    </w:p>
    <w:p w14:paraId="40C6B2C6" w14:textId="77777777" w:rsidR="00EA6933" w:rsidRPr="00EA6933" w:rsidRDefault="00EA6933" w:rsidP="00EA6933">
      <w:pPr>
        <w:numPr>
          <w:ilvl w:val="1"/>
          <w:numId w:val="20"/>
        </w:numPr>
        <w:spacing w:after="240" w:line="240" w:lineRule="auto"/>
        <w:ind w:right="850"/>
        <w:rPr>
          <w:rFonts w:ascii="Arial" w:eastAsia="Times New Roman" w:hAnsi="Arial" w:cs="Arial"/>
          <w:b/>
          <w:bCs/>
          <w:sz w:val="24"/>
          <w:szCs w:val="24"/>
        </w:rPr>
      </w:pPr>
      <w:r w:rsidRPr="00EA6933">
        <w:rPr>
          <w:rFonts w:ascii="Calibri" w:eastAsia="Times New Roman" w:hAnsi="Calibri" w:cs="Times New Roman"/>
          <w:sz w:val="21"/>
          <w:szCs w:val="21"/>
        </w:rPr>
        <w:br w:type="page"/>
      </w:r>
      <w:r w:rsidRPr="00EA6933">
        <w:rPr>
          <w:rFonts w:ascii="Arial" w:eastAsia="Times New Roman" w:hAnsi="Arial" w:cs="Arial"/>
          <w:b/>
          <w:bCs/>
          <w:sz w:val="24"/>
          <w:szCs w:val="24"/>
        </w:rPr>
        <w:lastRenderedPageBreak/>
        <w:t>REZULTAT POSLOVANJA U 2024. GODINI</w:t>
      </w:r>
    </w:p>
    <w:p w14:paraId="21C52000"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t xml:space="preserve">Ukupni prihod u 2024. godini ostvaren je u iznosu od </w:t>
      </w:r>
      <w:r w:rsidRPr="00EA6933">
        <w:rPr>
          <w:rFonts w:ascii="Arial" w:eastAsia="Times New Roman" w:hAnsi="Arial" w:cs="Arial"/>
          <w:b/>
          <w:bCs/>
          <w:color w:val="000000"/>
          <w:sz w:val="24"/>
          <w:szCs w:val="24"/>
        </w:rPr>
        <w:t xml:space="preserve">16.395.777 €. </w:t>
      </w:r>
      <w:r w:rsidRPr="00EA6933">
        <w:rPr>
          <w:rFonts w:ascii="Arial" w:eastAsia="Times New Roman" w:hAnsi="Arial" w:cs="Arial"/>
          <w:color w:val="000000"/>
          <w:sz w:val="24"/>
          <w:szCs w:val="24"/>
        </w:rPr>
        <w:t xml:space="preserve">Ukupni prihod u 2023. godini ostvaren je u iznosu od </w:t>
      </w:r>
      <w:r w:rsidRPr="00EA6933">
        <w:rPr>
          <w:rFonts w:ascii="Arial" w:eastAsia="Times New Roman" w:hAnsi="Arial" w:cs="Arial"/>
          <w:b/>
          <w:bCs/>
          <w:color w:val="000000"/>
          <w:sz w:val="24"/>
          <w:szCs w:val="24"/>
        </w:rPr>
        <w:t>12.880.949 €</w:t>
      </w:r>
      <w:r w:rsidRPr="00EA6933">
        <w:rPr>
          <w:rFonts w:ascii="Arial" w:eastAsia="Times New Roman" w:hAnsi="Arial" w:cs="Arial"/>
          <w:color w:val="000000"/>
          <w:sz w:val="24"/>
          <w:szCs w:val="24"/>
        </w:rPr>
        <w:t>.</w:t>
      </w:r>
      <w:r w:rsidRPr="00EA6933">
        <w:rPr>
          <w:rFonts w:ascii="Arial" w:eastAsia="Times New Roman" w:hAnsi="Arial" w:cs="Arial"/>
          <w:b/>
          <w:bCs/>
          <w:color w:val="000000"/>
          <w:sz w:val="24"/>
          <w:szCs w:val="24"/>
        </w:rPr>
        <w:t xml:space="preserve"> </w:t>
      </w:r>
      <w:r w:rsidRPr="00EA6933">
        <w:rPr>
          <w:rFonts w:ascii="Arial" w:eastAsia="Times New Roman" w:hAnsi="Arial" w:cs="Arial"/>
          <w:color w:val="000000"/>
          <w:sz w:val="24"/>
          <w:szCs w:val="24"/>
        </w:rPr>
        <w:t xml:space="preserve">U 2024. godini, u odnosu na 2023. godinu, ostvaren je veći ukupni prihod u iznosu od </w:t>
      </w:r>
      <w:r w:rsidRPr="00EA6933">
        <w:rPr>
          <w:rFonts w:ascii="Arial" w:eastAsia="Times New Roman" w:hAnsi="Arial" w:cs="Arial"/>
          <w:b/>
          <w:bCs/>
          <w:color w:val="000000"/>
          <w:sz w:val="24"/>
          <w:szCs w:val="24"/>
        </w:rPr>
        <w:t xml:space="preserve">3.514.828 € </w:t>
      </w:r>
      <w:r w:rsidRPr="00EA6933">
        <w:rPr>
          <w:rFonts w:ascii="Arial" w:eastAsia="Times New Roman" w:hAnsi="Arial" w:cs="Arial"/>
          <w:color w:val="000000"/>
          <w:sz w:val="24"/>
          <w:szCs w:val="24"/>
        </w:rPr>
        <w:t xml:space="preserve">odnosno ukupni prihod povećan je za </w:t>
      </w:r>
      <w:r w:rsidRPr="00EA6933">
        <w:rPr>
          <w:rFonts w:ascii="Arial" w:eastAsia="Times New Roman" w:hAnsi="Arial" w:cs="Arial"/>
          <w:b/>
          <w:bCs/>
          <w:color w:val="000000"/>
          <w:sz w:val="24"/>
          <w:szCs w:val="24"/>
        </w:rPr>
        <w:t>27,29%.</w:t>
      </w:r>
    </w:p>
    <w:p w14:paraId="22695580"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b/>
          <w:bCs/>
          <w:sz w:val="24"/>
          <w:szCs w:val="24"/>
        </w:rPr>
        <w:t>Ukupni rashod</w:t>
      </w:r>
      <w:r w:rsidRPr="00EA6933">
        <w:rPr>
          <w:rFonts w:ascii="Arial" w:eastAsia="Times New Roman" w:hAnsi="Arial" w:cs="Arial"/>
          <w:sz w:val="24"/>
          <w:szCs w:val="24"/>
        </w:rPr>
        <w:t xml:space="preserve"> u 2024. godini ostvaren je u iznosu od </w:t>
      </w:r>
      <w:r w:rsidRPr="00EA6933">
        <w:rPr>
          <w:rFonts w:ascii="Arial" w:eastAsia="Times New Roman" w:hAnsi="Arial" w:cs="Arial"/>
          <w:b/>
          <w:bCs/>
          <w:sz w:val="24"/>
          <w:szCs w:val="24"/>
        </w:rPr>
        <w:t xml:space="preserve">16.346.210 €. </w:t>
      </w:r>
      <w:r w:rsidRPr="00EA6933">
        <w:rPr>
          <w:rFonts w:ascii="Arial" w:eastAsia="Times New Roman" w:hAnsi="Arial" w:cs="Arial"/>
          <w:sz w:val="24"/>
          <w:szCs w:val="24"/>
        </w:rPr>
        <w:t xml:space="preserve">Ukupni rashod u 2023. godini ostvaren je u iznosu od </w:t>
      </w:r>
      <w:r w:rsidRPr="00EA6933">
        <w:rPr>
          <w:rFonts w:ascii="Arial" w:eastAsia="Times New Roman" w:hAnsi="Arial" w:cs="Arial"/>
          <w:b/>
          <w:bCs/>
          <w:sz w:val="24"/>
          <w:szCs w:val="24"/>
        </w:rPr>
        <w:t>12.875.513 €</w:t>
      </w:r>
      <w:r w:rsidRPr="00EA6933">
        <w:rPr>
          <w:rFonts w:ascii="Arial" w:eastAsia="Times New Roman" w:hAnsi="Arial" w:cs="Arial"/>
          <w:sz w:val="24"/>
          <w:szCs w:val="24"/>
        </w:rPr>
        <w:t xml:space="preserve">. U 2024. godini, u odnosu na 2023. godinu, ostvaren je veći ukupni rashod u iznosu od </w:t>
      </w:r>
      <w:r w:rsidRPr="00EA6933">
        <w:rPr>
          <w:rFonts w:ascii="Arial" w:eastAsia="Times New Roman" w:hAnsi="Arial" w:cs="Arial"/>
          <w:b/>
          <w:bCs/>
          <w:color w:val="000000"/>
          <w:sz w:val="24"/>
          <w:szCs w:val="24"/>
        </w:rPr>
        <w:t>3.470.697</w:t>
      </w:r>
      <w:r w:rsidRPr="00EA6933">
        <w:rPr>
          <w:rFonts w:ascii="Arial" w:eastAsia="Times New Roman" w:hAnsi="Arial" w:cs="Arial"/>
          <w:sz w:val="24"/>
          <w:szCs w:val="24"/>
        </w:rPr>
        <w:t xml:space="preserve"> </w:t>
      </w:r>
      <w:r w:rsidRPr="00EA6933">
        <w:rPr>
          <w:rFonts w:ascii="Arial" w:eastAsia="Times New Roman" w:hAnsi="Arial" w:cs="Arial"/>
          <w:b/>
          <w:bCs/>
          <w:sz w:val="24"/>
          <w:szCs w:val="24"/>
        </w:rPr>
        <w:t>€</w:t>
      </w:r>
      <w:r w:rsidRPr="00EA6933">
        <w:rPr>
          <w:rFonts w:ascii="Arial" w:eastAsia="Times New Roman" w:hAnsi="Arial" w:cs="Arial"/>
          <w:sz w:val="24"/>
          <w:szCs w:val="24"/>
        </w:rPr>
        <w:t xml:space="preserve"> odnosno ukupni rashod povećan je za </w:t>
      </w:r>
      <w:r w:rsidRPr="00EA6933">
        <w:rPr>
          <w:rFonts w:ascii="Arial" w:eastAsia="Times New Roman" w:hAnsi="Arial" w:cs="Arial"/>
          <w:b/>
          <w:bCs/>
          <w:sz w:val="24"/>
          <w:szCs w:val="24"/>
        </w:rPr>
        <w:t>26,96%</w:t>
      </w:r>
      <w:r w:rsidRPr="00EA6933">
        <w:rPr>
          <w:rFonts w:ascii="Arial" w:eastAsia="Times New Roman" w:hAnsi="Arial" w:cs="Arial"/>
          <w:sz w:val="24"/>
          <w:szCs w:val="24"/>
        </w:rPr>
        <w:t xml:space="preserve">.                          </w:t>
      </w:r>
    </w:p>
    <w:p w14:paraId="3E01DD80"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color w:val="000000"/>
          <w:sz w:val="24"/>
          <w:szCs w:val="24"/>
        </w:rPr>
        <w:t xml:space="preserve">U 2024. godini ostvarena je dobit u iznosu od </w:t>
      </w:r>
      <w:r w:rsidRPr="00EA6933">
        <w:rPr>
          <w:rFonts w:ascii="Arial" w:eastAsia="Times New Roman" w:hAnsi="Arial" w:cs="Arial"/>
          <w:b/>
          <w:bCs/>
          <w:sz w:val="24"/>
          <w:szCs w:val="24"/>
        </w:rPr>
        <w:t>49.567 €</w:t>
      </w:r>
      <w:r w:rsidRPr="00EA6933">
        <w:rPr>
          <w:rFonts w:ascii="Arial" w:eastAsia="Times New Roman" w:hAnsi="Arial" w:cs="Arial"/>
          <w:sz w:val="24"/>
          <w:szCs w:val="24"/>
        </w:rPr>
        <w:t xml:space="preserve">. </w:t>
      </w:r>
    </w:p>
    <w:p w14:paraId="689B54B5"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b/>
          <w:bCs/>
          <w:sz w:val="20"/>
          <w:szCs w:val="20"/>
        </w:rPr>
        <w:t>Dijagram 16. Pregled financijskog rezultata poslovanja za razdoblje 2020-2024. godina</w:t>
      </w:r>
    </w:p>
    <w:p w14:paraId="2A0DA276"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noProof/>
          <w:sz w:val="24"/>
          <w:szCs w:val="24"/>
        </w:rPr>
        <w:drawing>
          <wp:inline distT="0" distB="0" distL="0" distR="0" wp14:anchorId="290E3085" wp14:editId="20682952">
            <wp:extent cx="5759450" cy="4290060"/>
            <wp:effectExtent l="0" t="0" r="12700" b="15240"/>
            <wp:docPr id="1902358172" name="Grafikon 1">
              <a:extLst xmlns:a="http://schemas.openxmlformats.org/drawingml/2006/main">
                <a:ext uri="{FF2B5EF4-FFF2-40B4-BE49-F238E27FC236}">
                  <a16:creationId xmlns:a16="http://schemas.microsoft.com/office/drawing/2014/main" id="{9AAEC1D9-D4FD-4D8C-B5E1-3A1ECEA8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1E4243" w14:textId="77777777" w:rsidR="00EA6933" w:rsidRPr="00EA6933" w:rsidRDefault="00EA6933" w:rsidP="00EA6933">
      <w:pPr>
        <w:spacing w:after="120" w:line="360" w:lineRule="auto"/>
        <w:jc w:val="both"/>
        <w:rPr>
          <w:rFonts w:ascii="Arial" w:eastAsia="Times New Roman" w:hAnsi="Arial" w:cs="Arial"/>
          <w:sz w:val="24"/>
          <w:szCs w:val="24"/>
        </w:rPr>
      </w:pPr>
    </w:p>
    <w:p w14:paraId="6BE0E36C" w14:textId="77777777" w:rsidR="00EA6933" w:rsidRPr="00EA6933" w:rsidRDefault="00EA6933" w:rsidP="00EA6933">
      <w:pPr>
        <w:spacing w:after="120" w:line="360" w:lineRule="auto"/>
        <w:jc w:val="both"/>
        <w:rPr>
          <w:rFonts w:ascii="Arial" w:eastAsia="Times New Roman" w:hAnsi="Arial" w:cs="Arial"/>
          <w:sz w:val="24"/>
          <w:szCs w:val="24"/>
        </w:rPr>
      </w:pPr>
    </w:p>
    <w:p w14:paraId="2D819355" w14:textId="77777777" w:rsidR="00EA6933" w:rsidRPr="00EA6933" w:rsidRDefault="00EA6933" w:rsidP="00EA6933">
      <w:pPr>
        <w:spacing w:after="120" w:line="360" w:lineRule="auto"/>
        <w:jc w:val="both"/>
        <w:rPr>
          <w:rFonts w:ascii="Arial" w:eastAsia="Times New Roman" w:hAnsi="Arial" w:cs="Arial"/>
          <w:sz w:val="24"/>
          <w:szCs w:val="24"/>
        </w:rPr>
      </w:pPr>
    </w:p>
    <w:p w14:paraId="4DED70B1" w14:textId="77777777" w:rsidR="00EA6933" w:rsidRPr="00EA6933" w:rsidRDefault="00EA6933" w:rsidP="00EA6933">
      <w:pPr>
        <w:spacing w:after="120" w:line="360" w:lineRule="auto"/>
        <w:jc w:val="both"/>
        <w:rPr>
          <w:rFonts w:ascii="Arial" w:eastAsia="Times New Roman" w:hAnsi="Arial" w:cs="Arial"/>
          <w:sz w:val="24"/>
          <w:szCs w:val="24"/>
        </w:rPr>
      </w:pPr>
      <w:r w:rsidRPr="00EA6933">
        <w:rPr>
          <w:rFonts w:ascii="Arial" w:eastAsia="Times New Roman" w:hAnsi="Arial" w:cs="Arial"/>
          <w:sz w:val="24"/>
          <w:szCs w:val="24"/>
        </w:rPr>
        <w:lastRenderedPageBreak/>
        <w:t>Društvo je značajno povećalo ukupne prihode u odnosu na 2023. godinu, ali su istovremeno i značajno porasli ukupni rashodi. Povećanje prihoda i rashoda posljedica je povećanja operativne učinkovitosti Društva i realizacije većeg obujma projekata zbog povećanog ulaganja u obnovu prometnica, u uređenje zelenih površina i održavanje postojeće rasvjete na području grada Samobora te promjene sustava naplate odvoza miješanog komunalnog otpada.</w:t>
      </w:r>
    </w:p>
    <w:p w14:paraId="29091815" w14:textId="77777777" w:rsidR="00EA6933" w:rsidRPr="00EA6933" w:rsidRDefault="00EA6933" w:rsidP="00EA6933">
      <w:pPr>
        <w:keepNext/>
        <w:spacing w:line="360" w:lineRule="auto"/>
        <w:rPr>
          <w:rFonts w:ascii="Arial" w:eastAsia="Times New Roman" w:hAnsi="Arial" w:cs="Arial"/>
          <w:b/>
          <w:spacing w:val="10"/>
          <w:sz w:val="20"/>
          <w:szCs w:val="20"/>
        </w:rPr>
      </w:pPr>
      <w:r w:rsidRPr="00EA6933">
        <w:rPr>
          <w:rFonts w:ascii="Arial" w:eastAsia="Times New Roman" w:hAnsi="Arial" w:cs="Arial"/>
          <w:b/>
          <w:spacing w:val="10"/>
          <w:sz w:val="20"/>
          <w:szCs w:val="20"/>
        </w:rPr>
        <w:t xml:space="preserve">Tablica 4. Prikaz značajnijih promjena prihoda i rashoda-2024. godina                                  </w:t>
      </w:r>
    </w:p>
    <w:tbl>
      <w:tblPr>
        <w:tblpPr w:leftFromText="180" w:rightFromText="180" w:vertAnchor="text" w:tblpXSpec="center" w:tblpY="1"/>
        <w:tblOverlap w:val="never"/>
        <w:tblW w:w="9120" w:type="dxa"/>
        <w:tblLook w:val="04A0" w:firstRow="1" w:lastRow="0" w:firstColumn="1" w:lastColumn="0" w:noHBand="0" w:noVBand="1"/>
      </w:tblPr>
      <w:tblGrid>
        <w:gridCol w:w="367"/>
        <w:gridCol w:w="5054"/>
        <w:gridCol w:w="1117"/>
        <w:gridCol w:w="1117"/>
        <w:gridCol w:w="1465"/>
      </w:tblGrid>
      <w:tr w:rsidR="00EA6933" w:rsidRPr="00EA6933" w14:paraId="141E6C23" w14:textId="77777777" w:rsidTr="00A853FC">
        <w:trPr>
          <w:trHeight w:val="450"/>
        </w:trPr>
        <w:tc>
          <w:tcPr>
            <w:tcW w:w="367"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5CEDB90A" w14:textId="77777777" w:rsidR="00EA6933" w:rsidRPr="00EA6933" w:rsidRDefault="00EA6933" w:rsidP="00EA6933">
            <w:pPr>
              <w:spacing w:line="312" w:lineRule="auto"/>
              <w:jc w:val="center"/>
              <w:rPr>
                <w:rFonts w:ascii="Arial" w:eastAsia="Times New Roman" w:hAnsi="Arial" w:cs="Arial"/>
                <w:b/>
                <w:bCs/>
                <w:sz w:val="18"/>
                <w:szCs w:val="16"/>
              </w:rPr>
            </w:pPr>
            <w:r w:rsidRPr="00EA6933">
              <w:rPr>
                <w:rFonts w:ascii="Arial" w:eastAsia="Times New Roman" w:hAnsi="Arial" w:cs="Arial"/>
                <w:b/>
                <w:bCs/>
                <w:sz w:val="18"/>
                <w:szCs w:val="16"/>
              </w:rPr>
              <w:t> </w:t>
            </w:r>
          </w:p>
        </w:tc>
        <w:tc>
          <w:tcPr>
            <w:tcW w:w="5054" w:type="dxa"/>
            <w:tcBorders>
              <w:top w:val="single" w:sz="4" w:space="0" w:color="auto"/>
              <w:left w:val="nil"/>
              <w:bottom w:val="single" w:sz="4" w:space="0" w:color="auto"/>
              <w:right w:val="single" w:sz="4" w:space="0" w:color="auto"/>
            </w:tcBorders>
            <w:shd w:val="clear" w:color="000000" w:fill="D9D9D9"/>
            <w:vAlign w:val="center"/>
            <w:hideMark/>
          </w:tcPr>
          <w:p w14:paraId="26E0A58D" w14:textId="77777777" w:rsidR="00EA6933" w:rsidRPr="00EA6933" w:rsidRDefault="00EA6933" w:rsidP="00EA6933">
            <w:pPr>
              <w:spacing w:line="312" w:lineRule="auto"/>
              <w:rPr>
                <w:rFonts w:ascii="Arial" w:eastAsia="Times New Roman" w:hAnsi="Arial" w:cs="Arial"/>
                <w:b/>
                <w:bCs/>
                <w:sz w:val="16"/>
                <w:szCs w:val="16"/>
              </w:rPr>
            </w:pPr>
            <w:r w:rsidRPr="00EA6933">
              <w:rPr>
                <w:rFonts w:ascii="Arial" w:eastAsia="Times New Roman" w:hAnsi="Arial" w:cs="Arial"/>
                <w:b/>
                <w:bCs/>
                <w:sz w:val="16"/>
                <w:szCs w:val="16"/>
              </w:rPr>
              <w:t>PRIHODI</w:t>
            </w:r>
          </w:p>
        </w:tc>
        <w:tc>
          <w:tcPr>
            <w:tcW w:w="1117" w:type="dxa"/>
            <w:tcBorders>
              <w:top w:val="single" w:sz="4" w:space="0" w:color="auto"/>
              <w:left w:val="nil"/>
              <w:bottom w:val="single" w:sz="4" w:space="0" w:color="auto"/>
              <w:right w:val="single" w:sz="4" w:space="0" w:color="auto"/>
            </w:tcBorders>
            <w:shd w:val="clear" w:color="000000" w:fill="D9D9D9"/>
            <w:noWrap/>
            <w:vAlign w:val="center"/>
            <w:hideMark/>
          </w:tcPr>
          <w:p w14:paraId="133BE1CD"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2023. godina</w:t>
            </w:r>
          </w:p>
        </w:tc>
        <w:tc>
          <w:tcPr>
            <w:tcW w:w="1117" w:type="dxa"/>
            <w:tcBorders>
              <w:top w:val="single" w:sz="4" w:space="0" w:color="auto"/>
              <w:left w:val="nil"/>
              <w:bottom w:val="single" w:sz="4" w:space="0" w:color="auto"/>
              <w:right w:val="single" w:sz="4" w:space="0" w:color="auto"/>
            </w:tcBorders>
            <w:shd w:val="clear" w:color="000000" w:fill="D9D9D9"/>
            <w:noWrap/>
            <w:vAlign w:val="center"/>
            <w:hideMark/>
          </w:tcPr>
          <w:p w14:paraId="7B522533"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2024. godina</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14:paraId="196A0A6B"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Iznos povećanja/ smanjenja</w:t>
            </w:r>
          </w:p>
        </w:tc>
      </w:tr>
      <w:tr w:rsidR="00EA6933" w:rsidRPr="00EA6933" w14:paraId="282C6574" w14:textId="77777777" w:rsidTr="00A853FC">
        <w:trPr>
          <w:trHeight w:val="300"/>
        </w:trPr>
        <w:tc>
          <w:tcPr>
            <w:tcW w:w="367" w:type="dxa"/>
            <w:tcBorders>
              <w:top w:val="nil"/>
              <w:left w:val="single" w:sz="4" w:space="0" w:color="auto"/>
              <w:bottom w:val="single" w:sz="4" w:space="0" w:color="auto"/>
              <w:right w:val="single" w:sz="4" w:space="0" w:color="auto"/>
            </w:tcBorders>
            <w:shd w:val="clear" w:color="000000" w:fill="FFFFFF"/>
            <w:noWrap/>
            <w:vAlign w:val="bottom"/>
            <w:hideMark/>
          </w:tcPr>
          <w:p w14:paraId="6E273635"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1.</w:t>
            </w:r>
          </w:p>
        </w:tc>
        <w:tc>
          <w:tcPr>
            <w:tcW w:w="5054" w:type="dxa"/>
            <w:tcBorders>
              <w:top w:val="nil"/>
              <w:left w:val="nil"/>
              <w:bottom w:val="single" w:sz="4" w:space="0" w:color="auto"/>
              <w:right w:val="single" w:sz="4" w:space="0" w:color="auto"/>
            </w:tcBorders>
            <w:shd w:val="clear" w:color="000000" w:fill="FFFFFF"/>
            <w:vAlign w:val="center"/>
            <w:hideMark/>
          </w:tcPr>
          <w:p w14:paraId="715771A2" w14:textId="77777777" w:rsidR="00EA6933" w:rsidRPr="00EA6933" w:rsidRDefault="00EA6933" w:rsidP="00EA6933">
            <w:pPr>
              <w:spacing w:line="312" w:lineRule="auto"/>
              <w:rPr>
                <w:rFonts w:ascii="Arial" w:eastAsia="Times New Roman" w:hAnsi="Arial" w:cs="Arial"/>
                <w:sz w:val="16"/>
                <w:szCs w:val="16"/>
              </w:rPr>
            </w:pPr>
            <w:r w:rsidRPr="00EA6933">
              <w:rPr>
                <w:rFonts w:ascii="Arial" w:eastAsia="Times New Roman" w:hAnsi="Arial" w:cs="Arial"/>
                <w:sz w:val="16"/>
                <w:szCs w:val="16"/>
                <w:lang w:eastAsia="hr-HR"/>
              </w:rPr>
              <w:t>ODRŽAVANJE NERAZVRSTANIH CESTA</w:t>
            </w:r>
          </w:p>
        </w:tc>
        <w:tc>
          <w:tcPr>
            <w:tcW w:w="1117" w:type="dxa"/>
            <w:tcBorders>
              <w:top w:val="nil"/>
              <w:left w:val="nil"/>
              <w:bottom w:val="single" w:sz="4" w:space="0" w:color="auto"/>
              <w:right w:val="single" w:sz="4" w:space="0" w:color="auto"/>
            </w:tcBorders>
            <w:shd w:val="clear" w:color="auto" w:fill="auto"/>
            <w:noWrap/>
            <w:vAlign w:val="center"/>
            <w:hideMark/>
          </w:tcPr>
          <w:p w14:paraId="42AF40B9"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lang w:eastAsia="hr-HR"/>
              </w:rPr>
              <w:t>6.504.620</w:t>
            </w:r>
          </w:p>
        </w:tc>
        <w:tc>
          <w:tcPr>
            <w:tcW w:w="1117" w:type="dxa"/>
            <w:tcBorders>
              <w:top w:val="nil"/>
              <w:left w:val="nil"/>
              <w:bottom w:val="single" w:sz="4" w:space="0" w:color="auto"/>
              <w:right w:val="single" w:sz="4" w:space="0" w:color="auto"/>
            </w:tcBorders>
            <w:shd w:val="clear" w:color="auto" w:fill="auto"/>
            <w:noWrap/>
            <w:vAlign w:val="center"/>
            <w:hideMark/>
          </w:tcPr>
          <w:p w14:paraId="5852D033"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8.670.017</w:t>
            </w:r>
          </w:p>
        </w:tc>
        <w:tc>
          <w:tcPr>
            <w:tcW w:w="1465" w:type="dxa"/>
            <w:tcBorders>
              <w:top w:val="nil"/>
              <w:left w:val="nil"/>
              <w:bottom w:val="single" w:sz="4" w:space="0" w:color="auto"/>
              <w:right w:val="single" w:sz="4" w:space="0" w:color="auto"/>
            </w:tcBorders>
            <w:shd w:val="clear" w:color="auto" w:fill="auto"/>
            <w:noWrap/>
            <w:vAlign w:val="center"/>
            <w:hideMark/>
          </w:tcPr>
          <w:p w14:paraId="7C0A09F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2.165.397</w:t>
            </w:r>
          </w:p>
        </w:tc>
      </w:tr>
      <w:tr w:rsidR="00EA6933" w:rsidRPr="00EA6933" w14:paraId="59FBC58F"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FFFFF"/>
            <w:noWrap/>
            <w:vAlign w:val="center"/>
            <w:hideMark/>
          </w:tcPr>
          <w:p w14:paraId="4A3CD334"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2.</w:t>
            </w:r>
          </w:p>
        </w:tc>
        <w:tc>
          <w:tcPr>
            <w:tcW w:w="5054" w:type="dxa"/>
            <w:tcBorders>
              <w:top w:val="nil"/>
              <w:left w:val="nil"/>
              <w:bottom w:val="single" w:sz="4" w:space="0" w:color="auto"/>
              <w:right w:val="single" w:sz="4" w:space="0" w:color="auto"/>
            </w:tcBorders>
            <w:shd w:val="clear" w:color="000000" w:fill="FFFFFF"/>
            <w:vAlign w:val="center"/>
            <w:hideMark/>
          </w:tcPr>
          <w:p w14:paraId="1A7F5759" w14:textId="77777777" w:rsidR="00EA6933" w:rsidRPr="00EA6933" w:rsidRDefault="00EA6933" w:rsidP="00EA6933">
            <w:pPr>
              <w:spacing w:line="312" w:lineRule="auto"/>
              <w:rPr>
                <w:rFonts w:ascii="Arial" w:eastAsia="Times New Roman" w:hAnsi="Arial" w:cs="Arial"/>
                <w:sz w:val="16"/>
                <w:szCs w:val="16"/>
              </w:rPr>
            </w:pPr>
            <w:r w:rsidRPr="00EA6933">
              <w:rPr>
                <w:rFonts w:ascii="Arial" w:eastAsia="Times New Roman" w:hAnsi="Arial" w:cs="Arial"/>
                <w:sz w:val="16"/>
                <w:szCs w:val="16"/>
                <w:lang w:eastAsia="hr-HR"/>
              </w:rPr>
              <w:t>ODRŽAVANJE  JAVNIH POVRŠINA</w:t>
            </w:r>
          </w:p>
        </w:tc>
        <w:tc>
          <w:tcPr>
            <w:tcW w:w="1117" w:type="dxa"/>
            <w:tcBorders>
              <w:top w:val="nil"/>
              <w:left w:val="nil"/>
              <w:bottom w:val="single" w:sz="4" w:space="0" w:color="auto"/>
              <w:right w:val="nil"/>
            </w:tcBorders>
            <w:shd w:val="clear" w:color="auto" w:fill="auto"/>
            <w:noWrap/>
            <w:vAlign w:val="center"/>
            <w:hideMark/>
          </w:tcPr>
          <w:p w14:paraId="2246A290"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lang w:eastAsia="hr-HR"/>
              </w:rPr>
              <w:t>2.056.561</w:t>
            </w:r>
          </w:p>
        </w:tc>
        <w:tc>
          <w:tcPr>
            <w:tcW w:w="1117" w:type="dxa"/>
            <w:tcBorders>
              <w:top w:val="nil"/>
              <w:left w:val="single" w:sz="4" w:space="0" w:color="auto"/>
              <w:bottom w:val="single" w:sz="4" w:space="0" w:color="auto"/>
              <w:right w:val="nil"/>
            </w:tcBorders>
            <w:shd w:val="clear" w:color="auto" w:fill="auto"/>
            <w:noWrap/>
            <w:vAlign w:val="center"/>
            <w:hideMark/>
          </w:tcPr>
          <w:p w14:paraId="0AD72EC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2.365.202</w:t>
            </w: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14:paraId="7C295DAE"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308.641</w:t>
            </w:r>
          </w:p>
        </w:tc>
      </w:tr>
      <w:tr w:rsidR="00EA6933" w:rsidRPr="00EA6933" w14:paraId="00A7454E"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FFFFF"/>
            <w:noWrap/>
            <w:vAlign w:val="center"/>
            <w:hideMark/>
          </w:tcPr>
          <w:p w14:paraId="2AD6E7C7"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3.</w:t>
            </w:r>
          </w:p>
        </w:tc>
        <w:tc>
          <w:tcPr>
            <w:tcW w:w="5054" w:type="dxa"/>
            <w:tcBorders>
              <w:top w:val="nil"/>
              <w:left w:val="nil"/>
              <w:bottom w:val="single" w:sz="4" w:space="0" w:color="auto"/>
              <w:right w:val="single" w:sz="4" w:space="0" w:color="auto"/>
            </w:tcBorders>
            <w:shd w:val="clear" w:color="000000" w:fill="FFFFFF"/>
            <w:vAlign w:val="center"/>
            <w:hideMark/>
          </w:tcPr>
          <w:p w14:paraId="11867531" w14:textId="77777777" w:rsidR="00EA6933" w:rsidRPr="00EA6933" w:rsidRDefault="00EA6933" w:rsidP="00EA6933">
            <w:pPr>
              <w:spacing w:line="312" w:lineRule="auto"/>
              <w:rPr>
                <w:rFonts w:ascii="Arial" w:eastAsia="Times New Roman" w:hAnsi="Arial" w:cs="Arial"/>
                <w:sz w:val="16"/>
                <w:szCs w:val="16"/>
              </w:rPr>
            </w:pPr>
            <w:r w:rsidRPr="00EA6933">
              <w:rPr>
                <w:rFonts w:ascii="Arial" w:eastAsia="Times New Roman" w:hAnsi="Arial" w:cs="Arial"/>
                <w:color w:val="000000"/>
                <w:sz w:val="16"/>
                <w:szCs w:val="16"/>
                <w:lang w:eastAsia="hr-HR"/>
              </w:rPr>
              <w:t>GOSPODARENJE OTPADOM</w:t>
            </w:r>
          </w:p>
        </w:tc>
        <w:tc>
          <w:tcPr>
            <w:tcW w:w="1117" w:type="dxa"/>
            <w:tcBorders>
              <w:top w:val="nil"/>
              <w:left w:val="nil"/>
              <w:bottom w:val="single" w:sz="4" w:space="0" w:color="auto"/>
              <w:right w:val="nil"/>
            </w:tcBorders>
            <w:shd w:val="clear" w:color="auto" w:fill="auto"/>
            <w:noWrap/>
            <w:vAlign w:val="center"/>
            <w:hideMark/>
          </w:tcPr>
          <w:p w14:paraId="6E4A9F9B"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lang w:eastAsia="hr-HR"/>
              </w:rPr>
              <w:t>1.781.395</w:t>
            </w:r>
          </w:p>
        </w:tc>
        <w:tc>
          <w:tcPr>
            <w:tcW w:w="1117" w:type="dxa"/>
            <w:tcBorders>
              <w:top w:val="nil"/>
              <w:left w:val="single" w:sz="4" w:space="0" w:color="auto"/>
              <w:bottom w:val="single" w:sz="4" w:space="0" w:color="auto"/>
              <w:right w:val="nil"/>
            </w:tcBorders>
            <w:shd w:val="clear" w:color="auto" w:fill="auto"/>
            <w:noWrap/>
            <w:vAlign w:val="center"/>
            <w:hideMark/>
          </w:tcPr>
          <w:p w14:paraId="3FD9F019"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2.381.058</w:t>
            </w: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14:paraId="26DCD36A"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599.663</w:t>
            </w:r>
          </w:p>
        </w:tc>
      </w:tr>
      <w:tr w:rsidR="00EA6933" w:rsidRPr="00EA6933" w14:paraId="34E23C21"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2F2F2"/>
            <w:vAlign w:val="center"/>
            <w:hideMark/>
          </w:tcPr>
          <w:p w14:paraId="2C1A72DD"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 </w:t>
            </w:r>
          </w:p>
        </w:tc>
        <w:tc>
          <w:tcPr>
            <w:tcW w:w="5054" w:type="dxa"/>
            <w:tcBorders>
              <w:top w:val="nil"/>
              <w:left w:val="nil"/>
              <w:bottom w:val="single" w:sz="4" w:space="0" w:color="auto"/>
              <w:right w:val="single" w:sz="4" w:space="0" w:color="auto"/>
            </w:tcBorders>
            <w:shd w:val="clear" w:color="000000" w:fill="F2F2F2"/>
            <w:vAlign w:val="center"/>
            <w:hideMark/>
          </w:tcPr>
          <w:p w14:paraId="0DB5649A" w14:textId="77777777" w:rsidR="00EA6933" w:rsidRPr="00EA6933" w:rsidRDefault="00EA6933" w:rsidP="00EA6933">
            <w:pPr>
              <w:spacing w:line="312" w:lineRule="auto"/>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POVEĆANJE PRIHODA:</w:t>
            </w:r>
          </w:p>
        </w:tc>
        <w:tc>
          <w:tcPr>
            <w:tcW w:w="1117" w:type="dxa"/>
            <w:tcBorders>
              <w:top w:val="nil"/>
              <w:left w:val="nil"/>
              <w:bottom w:val="single" w:sz="4" w:space="0" w:color="auto"/>
              <w:right w:val="single" w:sz="4" w:space="0" w:color="auto"/>
            </w:tcBorders>
            <w:shd w:val="clear" w:color="000000" w:fill="F2F2F2"/>
            <w:vAlign w:val="center"/>
            <w:hideMark/>
          </w:tcPr>
          <w:p w14:paraId="02E11E89" w14:textId="77777777" w:rsidR="00EA6933" w:rsidRPr="00EA6933" w:rsidRDefault="00EA6933" w:rsidP="00EA6933">
            <w:pPr>
              <w:spacing w:line="312" w:lineRule="auto"/>
              <w:jc w:val="center"/>
              <w:rPr>
                <w:rFonts w:ascii="Arial" w:eastAsia="Times New Roman" w:hAnsi="Arial" w:cs="Arial"/>
                <w:b/>
                <w:bCs/>
                <w:color w:val="000000"/>
                <w:sz w:val="16"/>
                <w:szCs w:val="16"/>
              </w:rPr>
            </w:pPr>
          </w:p>
        </w:tc>
        <w:tc>
          <w:tcPr>
            <w:tcW w:w="1117" w:type="dxa"/>
            <w:tcBorders>
              <w:top w:val="nil"/>
              <w:left w:val="nil"/>
              <w:bottom w:val="single" w:sz="4" w:space="0" w:color="auto"/>
              <w:right w:val="nil"/>
            </w:tcBorders>
            <w:shd w:val="clear" w:color="000000" w:fill="F2F2F2"/>
            <w:vAlign w:val="center"/>
            <w:hideMark/>
          </w:tcPr>
          <w:p w14:paraId="115D1A8B" w14:textId="77777777" w:rsidR="00EA6933" w:rsidRPr="00EA6933" w:rsidRDefault="00EA6933" w:rsidP="00EA6933">
            <w:pPr>
              <w:spacing w:line="312" w:lineRule="auto"/>
              <w:jc w:val="center"/>
              <w:rPr>
                <w:rFonts w:ascii="Arial" w:eastAsia="Times New Roman" w:hAnsi="Arial" w:cs="Arial"/>
                <w:b/>
                <w:bCs/>
                <w:sz w:val="16"/>
                <w:szCs w:val="16"/>
              </w:rPr>
            </w:pPr>
          </w:p>
        </w:tc>
        <w:tc>
          <w:tcPr>
            <w:tcW w:w="1465" w:type="dxa"/>
            <w:tcBorders>
              <w:top w:val="nil"/>
              <w:left w:val="single" w:sz="4" w:space="0" w:color="auto"/>
              <w:bottom w:val="single" w:sz="4" w:space="0" w:color="auto"/>
              <w:right w:val="single" w:sz="4" w:space="0" w:color="auto"/>
            </w:tcBorders>
            <w:shd w:val="clear" w:color="000000" w:fill="F2F2F2"/>
            <w:vAlign w:val="center"/>
            <w:hideMark/>
          </w:tcPr>
          <w:p w14:paraId="3BCFFB2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3.073.701</w:t>
            </w:r>
          </w:p>
        </w:tc>
      </w:tr>
      <w:tr w:rsidR="00EA6933" w:rsidRPr="00EA6933" w14:paraId="572C0F03" w14:textId="77777777" w:rsidTr="00A853FC">
        <w:trPr>
          <w:trHeight w:val="450"/>
        </w:trPr>
        <w:tc>
          <w:tcPr>
            <w:tcW w:w="3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298804"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 </w:t>
            </w:r>
          </w:p>
        </w:tc>
        <w:tc>
          <w:tcPr>
            <w:tcW w:w="5054" w:type="dxa"/>
            <w:tcBorders>
              <w:top w:val="single" w:sz="4" w:space="0" w:color="auto"/>
              <w:left w:val="nil"/>
              <w:bottom w:val="single" w:sz="4" w:space="0" w:color="auto"/>
              <w:right w:val="single" w:sz="4" w:space="0" w:color="auto"/>
            </w:tcBorders>
            <w:shd w:val="clear" w:color="000000" w:fill="D9D9D9"/>
            <w:vAlign w:val="center"/>
            <w:hideMark/>
          </w:tcPr>
          <w:p w14:paraId="6253ECF9" w14:textId="77777777" w:rsidR="00EA6933" w:rsidRPr="00EA6933" w:rsidRDefault="00EA6933" w:rsidP="00EA6933">
            <w:pPr>
              <w:spacing w:line="312" w:lineRule="auto"/>
              <w:rPr>
                <w:rFonts w:ascii="Arial" w:eastAsia="Times New Roman" w:hAnsi="Arial" w:cs="Arial"/>
                <w:b/>
                <w:bCs/>
                <w:sz w:val="16"/>
                <w:szCs w:val="16"/>
              </w:rPr>
            </w:pPr>
            <w:r w:rsidRPr="00EA6933">
              <w:rPr>
                <w:rFonts w:ascii="Arial" w:eastAsia="Times New Roman" w:hAnsi="Arial" w:cs="Arial"/>
                <w:b/>
                <w:bCs/>
                <w:sz w:val="16"/>
                <w:szCs w:val="16"/>
              </w:rPr>
              <w:t>RASHODI</w:t>
            </w:r>
          </w:p>
        </w:tc>
        <w:tc>
          <w:tcPr>
            <w:tcW w:w="1117" w:type="dxa"/>
            <w:tcBorders>
              <w:top w:val="single" w:sz="4" w:space="0" w:color="auto"/>
              <w:left w:val="nil"/>
              <w:bottom w:val="single" w:sz="4" w:space="0" w:color="auto"/>
              <w:right w:val="single" w:sz="4" w:space="0" w:color="auto"/>
            </w:tcBorders>
            <w:shd w:val="clear" w:color="000000" w:fill="D9D9D9"/>
            <w:noWrap/>
            <w:vAlign w:val="center"/>
            <w:hideMark/>
          </w:tcPr>
          <w:p w14:paraId="48B6FF66"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2023.</w:t>
            </w:r>
          </w:p>
        </w:tc>
        <w:tc>
          <w:tcPr>
            <w:tcW w:w="1117" w:type="dxa"/>
            <w:tcBorders>
              <w:top w:val="single" w:sz="4" w:space="0" w:color="auto"/>
              <w:left w:val="nil"/>
              <w:bottom w:val="single" w:sz="4" w:space="0" w:color="auto"/>
              <w:right w:val="single" w:sz="4" w:space="0" w:color="auto"/>
            </w:tcBorders>
            <w:shd w:val="clear" w:color="000000" w:fill="D9D9D9"/>
            <w:noWrap/>
            <w:vAlign w:val="center"/>
            <w:hideMark/>
          </w:tcPr>
          <w:p w14:paraId="2F70B7F5"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2024.</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14:paraId="124E0BEC"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Iznos povećanja/ smanjenja</w:t>
            </w:r>
          </w:p>
        </w:tc>
      </w:tr>
      <w:tr w:rsidR="00EA6933" w:rsidRPr="00EA6933" w14:paraId="3F0E7B0C"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FFFFF"/>
            <w:noWrap/>
            <w:vAlign w:val="center"/>
            <w:hideMark/>
          </w:tcPr>
          <w:p w14:paraId="5048BB5C"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1.</w:t>
            </w:r>
          </w:p>
        </w:tc>
        <w:tc>
          <w:tcPr>
            <w:tcW w:w="5054" w:type="dxa"/>
            <w:tcBorders>
              <w:top w:val="nil"/>
              <w:left w:val="nil"/>
              <w:bottom w:val="single" w:sz="4" w:space="0" w:color="auto"/>
              <w:right w:val="single" w:sz="4" w:space="0" w:color="auto"/>
            </w:tcBorders>
            <w:shd w:val="clear" w:color="000000" w:fill="FFFFFF"/>
            <w:vAlign w:val="center"/>
            <w:hideMark/>
          </w:tcPr>
          <w:p w14:paraId="11488706" w14:textId="77777777" w:rsidR="00EA6933" w:rsidRPr="00EA6933" w:rsidRDefault="00EA6933" w:rsidP="00EA6933">
            <w:pPr>
              <w:spacing w:line="312" w:lineRule="auto"/>
              <w:rPr>
                <w:rFonts w:ascii="Arial" w:eastAsia="Times New Roman" w:hAnsi="Arial" w:cs="Arial"/>
                <w:sz w:val="16"/>
                <w:szCs w:val="16"/>
              </w:rPr>
            </w:pPr>
            <w:r w:rsidRPr="00EA6933">
              <w:rPr>
                <w:rFonts w:ascii="Arial" w:eastAsia="Times New Roman" w:hAnsi="Arial" w:cs="Arial"/>
                <w:color w:val="000000"/>
                <w:sz w:val="16"/>
                <w:szCs w:val="16"/>
                <w:lang w:eastAsia="hr-HR"/>
              </w:rPr>
              <w:t>OSTALI VANJSKI TROŠKOVI POSLOVANJA</w:t>
            </w:r>
          </w:p>
        </w:tc>
        <w:tc>
          <w:tcPr>
            <w:tcW w:w="1117" w:type="dxa"/>
            <w:tcBorders>
              <w:top w:val="nil"/>
              <w:left w:val="nil"/>
              <w:bottom w:val="single" w:sz="4" w:space="0" w:color="auto"/>
              <w:right w:val="nil"/>
            </w:tcBorders>
            <w:shd w:val="clear" w:color="auto" w:fill="auto"/>
            <w:noWrap/>
            <w:vAlign w:val="center"/>
            <w:hideMark/>
          </w:tcPr>
          <w:p w14:paraId="2670B96A"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4.737.956</w:t>
            </w:r>
          </w:p>
        </w:tc>
        <w:tc>
          <w:tcPr>
            <w:tcW w:w="1117" w:type="dxa"/>
            <w:tcBorders>
              <w:top w:val="nil"/>
              <w:left w:val="single" w:sz="4" w:space="0" w:color="auto"/>
              <w:bottom w:val="single" w:sz="4" w:space="0" w:color="auto"/>
              <w:right w:val="nil"/>
            </w:tcBorders>
            <w:shd w:val="clear" w:color="auto" w:fill="auto"/>
            <w:noWrap/>
            <w:vAlign w:val="center"/>
            <w:hideMark/>
          </w:tcPr>
          <w:p w14:paraId="4D85CEE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b/>
                <w:bCs/>
                <w:color w:val="000000"/>
                <w:sz w:val="16"/>
                <w:szCs w:val="16"/>
                <w:lang w:eastAsia="hr-HR"/>
              </w:rPr>
              <w:t>6.878.162</w:t>
            </w: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14:paraId="215E707F"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2.140.206</w:t>
            </w:r>
          </w:p>
        </w:tc>
      </w:tr>
      <w:tr w:rsidR="00EA6933" w:rsidRPr="00EA6933" w14:paraId="1AEEBA66"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FFFFF"/>
            <w:noWrap/>
            <w:vAlign w:val="center"/>
            <w:hideMark/>
          </w:tcPr>
          <w:p w14:paraId="29935D1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2.</w:t>
            </w:r>
          </w:p>
        </w:tc>
        <w:tc>
          <w:tcPr>
            <w:tcW w:w="5054" w:type="dxa"/>
            <w:tcBorders>
              <w:top w:val="nil"/>
              <w:left w:val="nil"/>
              <w:bottom w:val="single" w:sz="4" w:space="0" w:color="auto"/>
              <w:right w:val="single" w:sz="4" w:space="0" w:color="auto"/>
            </w:tcBorders>
            <w:shd w:val="clear" w:color="000000" w:fill="FFFFFF"/>
            <w:vAlign w:val="center"/>
            <w:hideMark/>
          </w:tcPr>
          <w:p w14:paraId="1566299F" w14:textId="77777777" w:rsidR="00EA6933" w:rsidRPr="00EA6933" w:rsidRDefault="00EA6933" w:rsidP="00EA6933">
            <w:pPr>
              <w:spacing w:line="312" w:lineRule="auto"/>
              <w:rPr>
                <w:rFonts w:ascii="Arial" w:eastAsia="Times New Roman" w:hAnsi="Arial" w:cs="Arial"/>
                <w:sz w:val="16"/>
                <w:szCs w:val="16"/>
              </w:rPr>
            </w:pPr>
            <w:r w:rsidRPr="00EA6933">
              <w:rPr>
                <w:rFonts w:ascii="Arial" w:eastAsia="Times New Roman" w:hAnsi="Arial" w:cs="Arial"/>
                <w:color w:val="000000"/>
                <w:sz w:val="16"/>
                <w:szCs w:val="16"/>
                <w:lang w:eastAsia="hr-HR"/>
              </w:rPr>
              <w:t>OSTALI TROŠKOVI POSLOVANJA</w:t>
            </w:r>
          </w:p>
        </w:tc>
        <w:tc>
          <w:tcPr>
            <w:tcW w:w="1117" w:type="dxa"/>
            <w:tcBorders>
              <w:top w:val="nil"/>
              <w:left w:val="nil"/>
              <w:bottom w:val="single" w:sz="4" w:space="0" w:color="auto"/>
              <w:right w:val="nil"/>
            </w:tcBorders>
            <w:shd w:val="clear" w:color="auto" w:fill="auto"/>
            <w:noWrap/>
            <w:vAlign w:val="center"/>
            <w:hideMark/>
          </w:tcPr>
          <w:p w14:paraId="0B57877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931.333</w:t>
            </w:r>
          </w:p>
        </w:tc>
        <w:tc>
          <w:tcPr>
            <w:tcW w:w="1117" w:type="dxa"/>
            <w:tcBorders>
              <w:top w:val="nil"/>
              <w:left w:val="single" w:sz="4" w:space="0" w:color="auto"/>
              <w:bottom w:val="single" w:sz="4" w:space="0" w:color="auto"/>
              <w:right w:val="nil"/>
            </w:tcBorders>
            <w:shd w:val="clear" w:color="auto" w:fill="auto"/>
            <w:noWrap/>
            <w:vAlign w:val="center"/>
            <w:hideMark/>
          </w:tcPr>
          <w:p w14:paraId="37F3A2E3"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b/>
                <w:bCs/>
                <w:color w:val="000000"/>
                <w:sz w:val="16"/>
                <w:szCs w:val="16"/>
                <w:lang w:eastAsia="hr-HR"/>
              </w:rPr>
              <w:t>1.155.679</w:t>
            </w: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14:paraId="18BCB815"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224.346</w:t>
            </w:r>
          </w:p>
        </w:tc>
      </w:tr>
      <w:tr w:rsidR="00EA6933" w:rsidRPr="00EA6933" w14:paraId="621C5709"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FFFFF"/>
            <w:noWrap/>
            <w:vAlign w:val="center"/>
            <w:hideMark/>
          </w:tcPr>
          <w:p w14:paraId="53719A7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3.</w:t>
            </w:r>
          </w:p>
        </w:tc>
        <w:tc>
          <w:tcPr>
            <w:tcW w:w="5054" w:type="dxa"/>
            <w:tcBorders>
              <w:top w:val="nil"/>
              <w:left w:val="nil"/>
              <w:bottom w:val="single" w:sz="4" w:space="0" w:color="auto"/>
              <w:right w:val="single" w:sz="4" w:space="0" w:color="auto"/>
            </w:tcBorders>
            <w:shd w:val="clear" w:color="000000" w:fill="FFFFFF"/>
            <w:vAlign w:val="center"/>
            <w:hideMark/>
          </w:tcPr>
          <w:p w14:paraId="483ED484" w14:textId="77777777" w:rsidR="00EA6933" w:rsidRPr="00EA6933" w:rsidRDefault="00EA6933" w:rsidP="00EA6933">
            <w:pPr>
              <w:spacing w:line="312" w:lineRule="auto"/>
              <w:rPr>
                <w:rFonts w:ascii="Arial" w:eastAsia="Times New Roman" w:hAnsi="Arial" w:cs="Arial"/>
                <w:sz w:val="16"/>
                <w:szCs w:val="16"/>
              </w:rPr>
            </w:pPr>
            <w:r w:rsidRPr="00EA6933">
              <w:rPr>
                <w:rFonts w:ascii="Arial" w:eastAsia="Times New Roman" w:hAnsi="Arial" w:cs="Arial"/>
                <w:color w:val="000000"/>
                <w:sz w:val="16"/>
                <w:szCs w:val="16"/>
                <w:lang w:eastAsia="hr-HR"/>
              </w:rPr>
              <w:t>TROŠKOVI OSOBLJA</w:t>
            </w:r>
          </w:p>
        </w:tc>
        <w:tc>
          <w:tcPr>
            <w:tcW w:w="1117" w:type="dxa"/>
            <w:tcBorders>
              <w:top w:val="nil"/>
              <w:left w:val="nil"/>
              <w:bottom w:val="single" w:sz="4" w:space="0" w:color="auto"/>
              <w:right w:val="nil"/>
            </w:tcBorders>
            <w:shd w:val="clear" w:color="auto" w:fill="auto"/>
            <w:noWrap/>
            <w:vAlign w:val="center"/>
            <w:hideMark/>
          </w:tcPr>
          <w:p w14:paraId="2D6BA246"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4.474.701</w:t>
            </w:r>
          </w:p>
        </w:tc>
        <w:tc>
          <w:tcPr>
            <w:tcW w:w="1117" w:type="dxa"/>
            <w:tcBorders>
              <w:top w:val="nil"/>
              <w:left w:val="single" w:sz="4" w:space="0" w:color="auto"/>
              <w:bottom w:val="single" w:sz="4" w:space="0" w:color="auto"/>
              <w:right w:val="nil"/>
            </w:tcBorders>
            <w:shd w:val="clear" w:color="auto" w:fill="auto"/>
            <w:noWrap/>
            <w:vAlign w:val="center"/>
            <w:hideMark/>
          </w:tcPr>
          <w:p w14:paraId="153D1480"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b/>
                <w:bCs/>
                <w:color w:val="000000"/>
                <w:sz w:val="16"/>
                <w:szCs w:val="16"/>
                <w:lang w:eastAsia="hr-HR"/>
              </w:rPr>
              <w:t>5.018.869</w:t>
            </w: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14:paraId="63482766"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lang w:eastAsia="hr-HR"/>
              </w:rPr>
              <w:t>544.168</w:t>
            </w:r>
          </w:p>
        </w:tc>
      </w:tr>
      <w:tr w:rsidR="00EA6933" w:rsidRPr="00EA6933" w14:paraId="5F0996BB"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F2F2F2"/>
            <w:vAlign w:val="center"/>
            <w:hideMark/>
          </w:tcPr>
          <w:p w14:paraId="7443CC15"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 </w:t>
            </w:r>
          </w:p>
        </w:tc>
        <w:tc>
          <w:tcPr>
            <w:tcW w:w="5054" w:type="dxa"/>
            <w:tcBorders>
              <w:top w:val="nil"/>
              <w:left w:val="nil"/>
              <w:bottom w:val="single" w:sz="4" w:space="0" w:color="auto"/>
              <w:right w:val="single" w:sz="4" w:space="0" w:color="auto"/>
            </w:tcBorders>
            <w:shd w:val="clear" w:color="000000" w:fill="F2F2F2"/>
            <w:vAlign w:val="center"/>
            <w:hideMark/>
          </w:tcPr>
          <w:p w14:paraId="67F93D55" w14:textId="77777777" w:rsidR="00EA6933" w:rsidRPr="00EA6933" w:rsidRDefault="00EA6933" w:rsidP="00EA6933">
            <w:pPr>
              <w:spacing w:line="312" w:lineRule="auto"/>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POVEĆANJE RASHODA:</w:t>
            </w:r>
          </w:p>
        </w:tc>
        <w:tc>
          <w:tcPr>
            <w:tcW w:w="1117" w:type="dxa"/>
            <w:tcBorders>
              <w:top w:val="nil"/>
              <w:left w:val="nil"/>
              <w:bottom w:val="single" w:sz="4" w:space="0" w:color="auto"/>
              <w:right w:val="single" w:sz="4" w:space="0" w:color="auto"/>
            </w:tcBorders>
            <w:shd w:val="clear" w:color="000000" w:fill="F2F2F2"/>
            <w:vAlign w:val="center"/>
            <w:hideMark/>
          </w:tcPr>
          <w:p w14:paraId="5FB2E1E2" w14:textId="77777777" w:rsidR="00EA6933" w:rsidRPr="00EA6933" w:rsidRDefault="00EA6933" w:rsidP="00EA6933">
            <w:pPr>
              <w:spacing w:line="312" w:lineRule="auto"/>
              <w:jc w:val="center"/>
              <w:rPr>
                <w:rFonts w:ascii="Arial" w:eastAsia="Times New Roman" w:hAnsi="Arial" w:cs="Arial"/>
                <w:b/>
                <w:bCs/>
                <w:sz w:val="16"/>
                <w:szCs w:val="16"/>
              </w:rPr>
            </w:pPr>
          </w:p>
        </w:tc>
        <w:tc>
          <w:tcPr>
            <w:tcW w:w="1117" w:type="dxa"/>
            <w:tcBorders>
              <w:top w:val="nil"/>
              <w:left w:val="nil"/>
              <w:bottom w:val="single" w:sz="4" w:space="0" w:color="auto"/>
              <w:right w:val="nil"/>
            </w:tcBorders>
            <w:shd w:val="clear" w:color="000000" w:fill="F2F2F2"/>
            <w:vAlign w:val="center"/>
            <w:hideMark/>
          </w:tcPr>
          <w:p w14:paraId="6C908C8A" w14:textId="77777777" w:rsidR="00EA6933" w:rsidRPr="00EA6933" w:rsidRDefault="00EA6933" w:rsidP="00EA6933">
            <w:pPr>
              <w:spacing w:line="312" w:lineRule="auto"/>
              <w:jc w:val="center"/>
              <w:rPr>
                <w:rFonts w:ascii="Arial" w:eastAsia="Times New Roman" w:hAnsi="Arial" w:cs="Arial"/>
                <w:b/>
                <w:bCs/>
                <w:sz w:val="16"/>
                <w:szCs w:val="16"/>
              </w:rPr>
            </w:pPr>
          </w:p>
        </w:tc>
        <w:tc>
          <w:tcPr>
            <w:tcW w:w="1465" w:type="dxa"/>
            <w:tcBorders>
              <w:top w:val="nil"/>
              <w:left w:val="single" w:sz="4" w:space="0" w:color="auto"/>
              <w:bottom w:val="single" w:sz="4" w:space="0" w:color="auto"/>
              <w:right w:val="single" w:sz="4" w:space="0" w:color="auto"/>
            </w:tcBorders>
            <w:shd w:val="clear" w:color="000000" w:fill="F2F2F2"/>
            <w:vAlign w:val="center"/>
            <w:hideMark/>
          </w:tcPr>
          <w:p w14:paraId="006C8A7D"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2.908.720</w:t>
            </w:r>
          </w:p>
        </w:tc>
      </w:tr>
      <w:tr w:rsidR="00EA6933" w:rsidRPr="00EA6933" w14:paraId="59DCE1EB" w14:textId="77777777" w:rsidTr="00A853FC">
        <w:trPr>
          <w:trHeight w:val="300"/>
        </w:trPr>
        <w:tc>
          <w:tcPr>
            <w:tcW w:w="367" w:type="dxa"/>
            <w:tcBorders>
              <w:top w:val="nil"/>
              <w:left w:val="single" w:sz="8" w:space="0" w:color="auto"/>
              <w:bottom w:val="single" w:sz="4" w:space="0" w:color="auto"/>
              <w:right w:val="single" w:sz="4" w:space="0" w:color="auto"/>
            </w:tcBorders>
            <w:shd w:val="clear" w:color="000000" w:fill="BFBFBF"/>
            <w:noWrap/>
            <w:vAlign w:val="center"/>
            <w:hideMark/>
          </w:tcPr>
          <w:p w14:paraId="0DE85C0E"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 </w:t>
            </w:r>
          </w:p>
        </w:tc>
        <w:tc>
          <w:tcPr>
            <w:tcW w:w="5054" w:type="dxa"/>
            <w:tcBorders>
              <w:top w:val="nil"/>
              <w:left w:val="nil"/>
              <w:bottom w:val="single" w:sz="4" w:space="0" w:color="auto"/>
              <w:right w:val="single" w:sz="4" w:space="0" w:color="auto"/>
            </w:tcBorders>
            <w:shd w:val="clear" w:color="000000" w:fill="BFBFBF"/>
            <w:vAlign w:val="center"/>
            <w:hideMark/>
          </w:tcPr>
          <w:p w14:paraId="2620350B" w14:textId="77777777" w:rsidR="00EA6933" w:rsidRPr="00EA6933" w:rsidRDefault="00EA6933" w:rsidP="00EA6933">
            <w:pPr>
              <w:spacing w:line="312" w:lineRule="auto"/>
              <w:rPr>
                <w:rFonts w:ascii="Arial" w:eastAsia="Times New Roman" w:hAnsi="Arial" w:cs="Arial"/>
                <w:b/>
                <w:bCs/>
                <w:sz w:val="16"/>
                <w:szCs w:val="16"/>
              </w:rPr>
            </w:pPr>
            <w:r w:rsidRPr="00EA6933">
              <w:rPr>
                <w:rFonts w:ascii="Arial" w:eastAsia="Times New Roman" w:hAnsi="Arial" w:cs="Arial"/>
                <w:b/>
                <w:bCs/>
                <w:sz w:val="16"/>
                <w:szCs w:val="16"/>
              </w:rPr>
              <w:t>UTJECAJ PROMJENE PRIHODA I RASHODA NA POSLOVNI REZULTAT:</w:t>
            </w:r>
          </w:p>
        </w:tc>
        <w:tc>
          <w:tcPr>
            <w:tcW w:w="1117" w:type="dxa"/>
            <w:tcBorders>
              <w:top w:val="nil"/>
              <w:left w:val="nil"/>
              <w:bottom w:val="single" w:sz="4" w:space="0" w:color="auto"/>
              <w:right w:val="single" w:sz="4" w:space="0" w:color="auto"/>
            </w:tcBorders>
            <w:shd w:val="clear" w:color="000000" w:fill="BFBFBF"/>
            <w:noWrap/>
            <w:vAlign w:val="center"/>
            <w:hideMark/>
          </w:tcPr>
          <w:p w14:paraId="3C9FA410" w14:textId="77777777" w:rsidR="00EA6933" w:rsidRPr="00EA6933" w:rsidRDefault="00EA6933" w:rsidP="00EA6933">
            <w:pPr>
              <w:spacing w:line="312" w:lineRule="auto"/>
              <w:rPr>
                <w:rFonts w:ascii="Arial" w:eastAsia="Times New Roman" w:hAnsi="Arial" w:cs="Arial"/>
                <w:b/>
                <w:bCs/>
                <w:sz w:val="16"/>
                <w:szCs w:val="16"/>
              </w:rPr>
            </w:pPr>
            <w:r w:rsidRPr="00EA6933">
              <w:rPr>
                <w:rFonts w:ascii="Arial" w:eastAsia="Times New Roman" w:hAnsi="Arial" w:cs="Arial"/>
                <w:b/>
                <w:bCs/>
                <w:sz w:val="16"/>
                <w:szCs w:val="16"/>
              </w:rPr>
              <w:t> </w:t>
            </w:r>
          </w:p>
        </w:tc>
        <w:tc>
          <w:tcPr>
            <w:tcW w:w="1117" w:type="dxa"/>
            <w:tcBorders>
              <w:top w:val="nil"/>
              <w:left w:val="nil"/>
              <w:bottom w:val="single" w:sz="4" w:space="0" w:color="auto"/>
              <w:right w:val="single" w:sz="4" w:space="0" w:color="auto"/>
            </w:tcBorders>
            <w:shd w:val="clear" w:color="000000" w:fill="BFBFBF"/>
            <w:noWrap/>
            <w:vAlign w:val="center"/>
            <w:hideMark/>
          </w:tcPr>
          <w:p w14:paraId="5365D513" w14:textId="77777777" w:rsidR="00EA6933" w:rsidRPr="00EA6933" w:rsidRDefault="00EA6933" w:rsidP="00EA6933">
            <w:pPr>
              <w:spacing w:line="312" w:lineRule="auto"/>
              <w:rPr>
                <w:rFonts w:ascii="Arial" w:eastAsia="Times New Roman" w:hAnsi="Arial" w:cs="Arial"/>
                <w:b/>
                <w:bCs/>
                <w:sz w:val="16"/>
                <w:szCs w:val="16"/>
              </w:rPr>
            </w:pPr>
            <w:r w:rsidRPr="00EA6933">
              <w:rPr>
                <w:rFonts w:ascii="Arial" w:eastAsia="Times New Roman" w:hAnsi="Arial" w:cs="Arial"/>
                <w:b/>
                <w:bCs/>
                <w:sz w:val="16"/>
                <w:szCs w:val="16"/>
              </w:rPr>
              <w:t> </w:t>
            </w:r>
          </w:p>
        </w:tc>
        <w:tc>
          <w:tcPr>
            <w:tcW w:w="1465" w:type="dxa"/>
            <w:tcBorders>
              <w:top w:val="nil"/>
              <w:left w:val="nil"/>
              <w:bottom w:val="single" w:sz="4" w:space="0" w:color="auto"/>
              <w:right w:val="single" w:sz="4" w:space="0" w:color="auto"/>
            </w:tcBorders>
            <w:shd w:val="clear" w:color="000000" w:fill="BFBFBF"/>
            <w:noWrap/>
            <w:vAlign w:val="center"/>
            <w:hideMark/>
          </w:tcPr>
          <w:p w14:paraId="04AC1CE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+164.981</w:t>
            </w:r>
          </w:p>
        </w:tc>
      </w:tr>
    </w:tbl>
    <w:p w14:paraId="09D3C9B8" w14:textId="77777777" w:rsidR="00EA6933" w:rsidRPr="00EA6933" w:rsidRDefault="00EA6933" w:rsidP="00EA6933">
      <w:pPr>
        <w:spacing w:line="312" w:lineRule="auto"/>
        <w:rPr>
          <w:rFonts w:ascii="Calibri" w:eastAsia="Times New Roman" w:hAnsi="Calibri" w:cs="Times New Roman"/>
          <w:b/>
          <w:sz w:val="21"/>
          <w:szCs w:val="21"/>
        </w:rPr>
      </w:pPr>
    </w:p>
    <w:p w14:paraId="1CEE470D" w14:textId="77777777" w:rsidR="00EA6933" w:rsidRPr="00EA6933" w:rsidRDefault="00EA6933" w:rsidP="00EA6933">
      <w:pPr>
        <w:numPr>
          <w:ilvl w:val="1"/>
          <w:numId w:val="20"/>
        </w:numPr>
        <w:spacing w:after="0" w:line="240" w:lineRule="auto"/>
        <w:rPr>
          <w:rFonts w:ascii="Arial" w:eastAsia="Times New Roman" w:hAnsi="Arial" w:cs="Arial"/>
          <w:b/>
          <w:bCs/>
          <w:sz w:val="24"/>
          <w:szCs w:val="24"/>
        </w:rPr>
      </w:pPr>
      <w:r w:rsidRPr="00EA6933">
        <w:rPr>
          <w:rFonts w:ascii="Calibri" w:eastAsia="Times New Roman" w:hAnsi="Calibri" w:cs="Times New Roman"/>
          <w:b/>
          <w:sz w:val="21"/>
          <w:szCs w:val="21"/>
        </w:rPr>
        <w:br w:type="page"/>
      </w:r>
      <w:r w:rsidRPr="00EA6933">
        <w:rPr>
          <w:rFonts w:ascii="Arial" w:eastAsia="Times New Roman" w:hAnsi="Arial" w:cs="Arial"/>
          <w:b/>
          <w:bCs/>
          <w:sz w:val="24"/>
          <w:szCs w:val="24"/>
        </w:rPr>
        <w:lastRenderedPageBreak/>
        <w:t>POKAZATELJI ANALIZE FINANCIJSKIH IZVJEŠTAJA</w:t>
      </w:r>
    </w:p>
    <w:p w14:paraId="7C2881D4" w14:textId="77777777" w:rsidR="00EA6933" w:rsidRPr="00EA6933" w:rsidRDefault="00EA6933" w:rsidP="00EA6933">
      <w:pPr>
        <w:numPr>
          <w:ilvl w:val="2"/>
          <w:numId w:val="8"/>
        </w:numPr>
        <w:spacing w:before="240" w:after="120" w:line="276" w:lineRule="auto"/>
        <w:ind w:left="709" w:hanging="709"/>
        <w:jc w:val="both"/>
        <w:rPr>
          <w:rFonts w:ascii="Arial" w:eastAsia="Times New Roman" w:hAnsi="Arial" w:cs="Arial"/>
          <w:b/>
          <w:bCs/>
          <w:sz w:val="24"/>
          <w:szCs w:val="24"/>
          <w:lang w:eastAsia="hr-HR"/>
        </w:rPr>
      </w:pPr>
      <w:r w:rsidRPr="00EA6933">
        <w:rPr>
          <w:rFonts w:ascii="Arial" w:eastAsia="Times New Roman" w:hAnsi="Arial" w:cs="Arial"/>
          <w:b/>
          <w:bCs/>
          <w:sz w:val="24"/>
          <w:szCs w:val="24"/>
          <w:lang w:eastAsia="hr-HR"/>
        </w:rPr>
        <w:t xml:space="preserve">Pokazatelj tekuće likvidnosti </w:t>
      </w:r>
    </w:p>
    <w:p w14:paraId="3909A67D" w14:textId="77777777" w:rsidR="00EA6933" w:rsidRPr="00EA6933" w:rsidRDefault="00EA6933" w:rsidP="00EA6933">
      <w:pPr>
        <w:tabs>
          <w:tab w:val="left" w:pos="993"/>
        </w:tabs>
        <w:spacing w:after="0" w:line="276" w:lineRule="auto"/>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t>Tablica 5. Prikaz koeficijenta tekuće likvidnosti</w:t>
      </w:r>
    </w:p>
    <w:tbl>
      <w:tblPr>
        <w:tblW w:w="9046" w:type="dxa"/>
        <w:jc w:val="center"/>
        <w:tblLook w:val="04A0" w:firstRow="1" w:lastRow="0" w:firstColumn="1" w:lastColumn="0" w:noHBand="0" w:noVBand="1"/>
      </w:tblPr>
      <w:tblGrid>
        <w:gridCol w:w="3246"/>
        <w:gridCol w:w="1160"/>
        <w:gridCol w:w="1160"/>
        <w:gridCol w:w="1160"/>
        <w:gridCol w:w="1160"/>
        <w:gridCol w:w="1160"/>
      </w:tblGrid>
      <w:tr w:rsidR="00EA6933" w:rsidRPr="00EA6933" w14:paraId="4B47449E" w14:textId="77777777" w:rsidTr="007356C2">
        <w:trPr>
          <w:trHeight w:hRule="exact" w:val="284"/>
          <w:jc w:val="center"/>
        </w:trPr>
        <w:tc>
          <w:tcPr>
            <w:tcW w:w="3246" w:type="dxa"/>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4244E8A5"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OPIS</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689DD69C"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2020.</w:t>
            </w:r>
          </w:p>
        </w:tc>
        <w:tc>
          <w:tcPr>
            <w:tcW w:w="1160" w:type="dxa"/>
            <w:tcBorders>
              <w:top w:val="single" w:sz="4" w:space="0" w:color="auto"/>
              <w:left w:val="nil"/>
              <w:bottom w:val="single" w:sz="4" w:space="0" w:color="auto"/>
              <w:right w:val="single" w:sz="4" w:space="0" w:color="auto"/>
            </w:tcBorders>
            <w:shd w:val="clear" w:color="000000" w:fill="A6A6A6"/>
            <w:vAlign w:val="center"/>
            <w:hideMark/>
          </w:tcPr>
          <w:p w14:paraId="0A3F0241"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sz w:val="16"/>
                <w:szCs w:val="16"/>
              </w:rPr>
              <w:t>2021.</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2E463A7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2022.</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573D2884"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2023.</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60482884"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2024.</w:t>
            </w:r>
          </w:p>
        </w:tc>
      </w:tr>
      <w:tr w:rsidR="00EA6933" w:rsidRPr="00EA6933" w14:paraId="4B5E7C6C" w14:textId="77777777" w:rsidTr="007356C2">
        <w:trPr>
          <w:trHeight w:hRule="exact" w:val="284"/>
          <w:jc w:val="center"/>
        </w:trPr>
        <w:tc>
          <w:tcPr>
            <w:tcW w:w="3246" w:type="dxa"/>
            <w:tcBorders>
              <w:top w:val="nil"/>
              <w:left w:val="single" w:sz="4" w:space="0" w:color="auto"/>
              <w:bottom w:val="single" w:sz="4" w:space="0" w:color="auto"/>
              <w:right w:val="single" w:sz="4" w:space="0" w:color="auto"/>
            </w:tcBorders>
            <w:shd w:val="clear" w:color="000000" w:fill="FFFFFF"/>
            <w:vAlign w:val="center"/>
            <w:hideMark/>
          </w:tcPr>
          <w:p w14:paraId="0820341F"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Kratkotrajna imovina</w:t>
            </w:r>
          </w:p>
        </w:tc>
        <w:tc>
          <w:tcPr>
            <w:tcW w:w="1160" w:type="dxa"/>
            <w:tcBorders>
              <w:top w:val="nil"/>
              <w:left w:val="nil"/>
              <w:bottom w:val="single" w:sz="4" w:space="0" w:color="auto"/>
              <w:right w:val="single" w:sz="4" w:space="0" w:color="auto"/>
            </w:tcBorders>
            <w:shd w:val="clear" w:color="auto" w:fill="auto"/>
            <w:noWrap/>
            <w:vAlign w:val="center"/>
            <w:hideMark/>
          </w:tcPr>
          <w:p w14:paraId="567C511E"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4.118.714</w:t>
            </w:r>
          </w:p>
        </w:tc>
        <w:tc>
          <w:tcPr>
            <w:tcW w:w="1160" w:type="dxa"/>
            <w:tcBorders>
              <w:top w:val="nil"/>
              <w:left w:val="nil"/>
              <w:bottom w:val="single" w:sz="4" w:space="0" w:color="auto"/>
              <w:right w:val="single" w:sz="4" w:space="0" w:color="auto"/>
            </w:tcBorders>
            <w:shd w:val="clear" w:color="auto" w:fill="auto"/>
            <w:noWrap/>
            <w:vAlign w:val="center"/>
            <w:hideMark/>
          </w:tcPr>
          <w:p w14:paraId="7A40CD27"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3.865.193</w:t>
            </w:r>
          </w:p>
        </w:tc>
        <w:tc>
          <w:tcPr>
            <w:tcW w:w="1160" w:type="dxa"/>
            <w:tcBorders>
              <w:top w:val="nil"/>
              <w:left w:val="nil"/>
              <w:bottom w:val="single" w:sz="4" w:space="0" w:color="auto"/>
              <w:right w:val="single" w:sz="4" w:space="0" w:color="auto"/>
            </w:tcBorders>
            <w:shd w:val="clear" w:color="auto" w:fill="auto"/>
            <w:noWrap/>
            <w:vAlign w:val="center"/>
            <w:hideMark/>
          </w:tcPr>
          <w:p w14:paraId="230B4888"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4.208.732</w:t>
            </w:r>
          </w:p>
        </w:tc>
        <w:tc>
          <w:tcPr>
            <w:tcW w:w="1160" w:type="dxa"/>
            <w:tcBorders>
              <w:top w:val="nil"/>
              <w:left w:val="nil"/>
              <w:bottom w:val="single" w:sz="4" w:space="0" w:color="auto"/>
              <w:right w:val="single" w:sz="4" w:space="0" w:color="auto"/>
            </w:tcBorders>
            <w:shd w:val="clear" w:color="auto" w:fill="auto"/>
            <w:noWrap/>
            <w:vAlign w:val="center"/>
            <w:hideMark/>
          </w:tcPr>
          <w:p w14:paraId="02EA4A86"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1.828.234</w:t>
            </w:r>
          </w:p>
        </w:tc>
        <w:tc>
          <w:tcPr>
            <w:tcW w:w="1160" w:type="dxa"/>
            <w:tcBorders>
              <w:top w:val="nil"/>
              <w:left w:val="nil"/>
              <w:bottom w:val="single" w:sz="4" w:space="0" w:color="auto"/>
              <w:right w:val="single" w:sz="4" w:space="0" w:color="auto"/>
            </w:tcBorders>
            <w:shd w:val="clear" w:color="auto" w:fill="auto"/>
            <w:noWrap/>
            <w:vAlign w:val="center"/>
            <w:hideMark/>
          </w:tcPr>
          <w:p w14:paraId="7139A43C"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3.082.109</w:t>
            </w:r>
          </w:p>
        </w:tc>
      </w:tr>
      <w:tr w:rsidR="00EA6933" w:rsidRPr="00EA6933" w14:paraId="54843B38" w14:textId="77777777" w:rsidTr="007356C2">
        <w:trPr>
          <w:trHeight w:hRule="exact" w:val="284"/>
          <w:jc w:val="center"/>
        </w:trPr>
        <w:tc>
          <w:tcPr>
            <w:tcW w:w="3246" w:type="dxa"/>
            <w:tcBorders>
              <w:top w:val="nil"/>
              <w:left w:val="single" w:sz="4" w:space="0" w:color="auto"/>
              <w:bottom w:val="single" w:sz="4" w:space="0" w:color="auto"/>
              <w:right w:val="single" w:sz="4" w:space="0" w:color="auto"/>
            </w:tcBorders>
            <w:shd w:val="clear" w:color="000000" w:fill="FFFFFF"/>
            <w:vAlign w:val="center"/>
            <w:hideMark/>
          </w:tcPr>
          <w:p w14:paraId="02D817ED"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Kratkoročne obveze</w:t>
            </w:r>
          </w:p>
        </w:tc>
        <w:tc>
          <w:tcPr>
            <w:tcW w:w="1160" w:type="dxa"/>
            <w:tcBorders>
              <w:top w:val="nil"/>
              <w:left w:val="nil"/>
              <w:bottom w:val="single" w:sz="4" w:space="0" w:color="auto"/>
              <w:right w:val="single" w:sz="4" w:space="0" w:color="auto"/>
            </w:tcBorders>
            <w:shd w:val="clear" w:color="auto" w:fill="auto"/>
            <w:noWrap/>
            <w:vAlign w:val="center"/>
            <w:hideMark/>
          </w:tcPr>
          <w:p w14:paraId="371A86A9"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5.092.685</w:t>
            </w:r>
          </w:p>
        </w:tc>
        <w:tc>
          <w:tcPr>
            <w:tcW w:w="1160" w:type="dxa"/>
            <w:tcBorders>
              <w:top w:val="nil"/>
              <w:left w:val="nil"/>
              <w:bottom w:val="single" w:sz="4" w:space="0" w:color="auto"/>
              <w:right w:val="single" w:sz="4" w:space="0" w:color="auto"/>
            </w:tcBorders>
            <w:shd w:val="clear" w:color="auto" w:fill="auto"/>
            <w:noWrap/>
            <w:vAlign w:val="center"/>
            <w:hideMark/>
          </w:tcPr>
          <w:p w14:paraId="0FACD7A5"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4.857.763</w:t>
            </w:r>
          </w:p>
        </w:tc>
        <w:tc>
          <w:tcPr>
            <w:tcW w:w="1160" w:type="dxa"/>
            <w:tcBorders>
              <w:top w:val="nil"/>
              <w:left w:val="nil"/>
              <w:bottom w:val="single" w:sz="4" w:space="0" w:color="auto"/>
              <w:right w:val="single" w:sz="4" w:space="0" w:color="auto"/>
            </w:tcBorders>
            <w:shd w:val="clear" w:color="auto" w:fill="auto"/>
            <w:noWrap/>
            <w:vAlign w:val="center"/>
            <w:hideMark/>
          </w:tcPr>
          <w:p w14:paraId="74D97BAD"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5.016.483</w:t>
            </w:r>
          </w:p>
        </w:tc>
        <w:tc>
          <w:tcPr>
            <w:tcW w:w="1160" w:type="dxa"/>
            <w:tcBorders>
              <w:top w:val="nil"/>
              <w:left w:val="nil"/>
              <w:bottom w:val="single" w:sz="4" w:space="0" w:color="auto"/>
              <w:right w:val="single" w:sz="4" w:space="0" w:color="auto"/>
            </w:tcBorders>
            <w:shd w:val="clear" w:color="auto" w:fill="auto"/>
            <w:noWrap/>
            <w:vAlign w:val="center"/>
            <w:hideMark/>
          </w:tcPr>
          <w:p w14:paraId="566A9887"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3.046.100</w:t>
            </w:r>
          </w:p>
        </w:tc>
        <w:tc>
          <w:tcPr>
            <w:tcW w:w="1160" w:type="dxa"/>
            <w:tcBorders>
              <w:top w:val="nil"/>
              <w:left w:val="nil"/>
              <w:bottom w:val="single" w:sz="4" w:space="0" w:color="auto"/>
              <w:right w:val="single" w:sz="4" w:space="0" w:color="auto"/>
            </w:tcBorders>
            <w:shd w:val="clear" w:color="auto" w:fill="auto"/>
            <w:noWrap/>
            <w:vAlign w:val="center"/>
            <w:hideMark/>
          </w:tcPr>
          <w:p w14:paraId="526A5679"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4.333.009</w:t>
            </w:r>
          </w:p>
        </w:tc>
      </w:tr>
      <w:tr w:rsidR="00EA6933" w:rsidRPr="00EA6933" w14:paraId="3AC8B4AE" w14:textId="77777777" w:rsidTr="007356C2">
        <w:trPr>
          <w:trHeight w:hRule="exact" w:val="284"/>
          <w:jc w:val="center"/>
        </w:trPr>
        <w:tc>
          <w:tcPr>
            <w:tcW w:w="3246" w:type="dxa"/>
            <w:tcBorders>
              <w:top w:val="nil"/>
              <w:left w:val="single" w:sz="4" w:space="0" w:color="auto"/>
              <w:bottom w:val="single" w:sz="4" w:space="0" w:color="auto"/>
              <w:right w:val="single" w:sz="4" w:space="0" w:color="auto"/>
            </w:tcBorders>
            <w:shd w:val="clear" w:color="000000" w:fill="D9D9D9"/>
            <w:vAlign w:val="center"/>
            <w:hideMark/>
          </w:tcPr>
          <w:p w14:paraId="6FE0B652"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KTL</w:t>
            </w:r>
          </w:p>
        </w:tc>
        <w:tc>
          <w:tcPr>
            <w:tcW w:w="1160" w:type="dxa"/>
            <w:tcBorders>
              <w:top w:val="nil"/>
              <w:left w:val="nil"/>
              <w:bottom w:val="single" w:sz="4" w:space="0" w:color="auto"/>
              <w:right w:val="single" w:sz="4" w:space="0" w:color="auto"/>
            </w:tcBorders>
            <w:shd w:val="clear" w:color="000000" w:fill="D9D9D9"/>
            <w:vAlign w:val="center"/>
            <w:hideMark/>
          </w:tcPr>
          <w:p w14:paraId="1ABF65F9"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0,81</w:t>
            </w:r>
          </w:p>
        </w:tc>
        <w:tc>
          <w:tcPr>
            <w:tcW w:w="1160" w:type="dxa"/>
            <w:tcBorders>
              <w:top w:val="nil"/>
              <w:left w:val="nil"/>
              <w:bottom w:val="single" w:sz="4" w:space="0" w:color="auto"/>
              <w:right w:val="single" w:sz="4" w:space="0" w:color="auto"/>
            </w:tcBorders>
            <w:shd w:val="clear" w:color="000000" w:fill="D9D9D9"/>
            <w:vAlign w:val="center"/>
            <w:hideMark/>
          </w:tcPr>
          <w:p w14:paraId="3BB7B070"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0,80</w:t>
            </w:r>
          </w:p>
        </w:tc>
        <w:tc>
          <w:tcPr>
            <w:tcW w:w="1160" w:type="dxa"/>
            <w:tcBorders>
              <w:top w:val="nil"/>
              <w:left w:val="nil"/>
              <w:bottom w:val="single" w:sz="4" w:space="0" w:color="auto"/>
              <w:right w:val="single" w:sz="4" w:space="0" w:color="auto"/>
            </w:tcBorders>
            <w:shd w:val="clear" w:color="000000" w:fill="D9D9D9"/>
            <w:vAlign w:val="center"/>
            <w:hideMark/>
          </w:tcPr>
          <w:p w14:paraId="10F88E42"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0,84</w:t>
            </w:r>
          </w:p>
        </w:tc>
        <w:tc>
          <w:tcPr>
            <w:tcW w:w="1160" w:type="dxa"/>
            <w:tcBorders>
              <w:top w:val="nil"/>
              <w:left w:val="nil"/>
              <w:bottom w:val="single" w:sz="4" w:space="0" w:color="auto"/>
              <w:right w:val="single" w:sz="4" w:space="0" w:color="auto"/>
            </w:tcBorders>
            <w:shd w:val="clear" w:color="000000" w:fill="D9D9D9"/>
            <w:vAlign w:val="center"/>
            <w:hideMark/>
          </w:tcPr>
          <w:p w14:paraId="2A763E17"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0,60</w:t>
            </w:r>
          </w:p>
        </w:tc>
        <w:tc>
          <w:tcPr>
            <w:tcW w:w="1160" w:type="dxa"/>
            <w:tcBorders>
              <w:top w:val="nil"/>
              <w:left w:val="nil"/>
              <w:bottom w:val="single" w:sz="4" w:space="0" w:color="auto"/>
              <w:right w:val="single" w:sz="4" w:space="0" w:color="auto"/>
            </w:tcBorders>
            <w:shd w:val="clear" w:color="000000" w:fill="D9D9D9"/>
            <w:vAlign w:val="center"/>
            <w:hideMark/>
          </w:tcPr>
          <w:p w14:paraId="1538B01B"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0,71</w:t>
            </w:r>
          </w:p>
        </w:tc>
      </w:tr>
      <w:tr w:rsidR="00EA6933" w:rsidRPr="00EA6933" w14:paraId="0C66B7DC" w14:textId="77777777" w:rsidTr="007356C2">
        <w:trPr>
          <w:trHeight w:hRule="exact" w:val="284"/>
          <w:jc w:val="center"/>
        </w:trPr>
        <w:tc>
          <w:tcPr>
            <w:tcW w:w="3246" w:type="dxa"/>
            <w:tcBorders>
              <w:top w:val="nil"/>
              <w:left w:val="single" w:sz="4" w:space="0" w:color="auto"/>
              <w:bottom w:val="single" w:sz="4" w:space="0" w:color="auto"/>
              <w:right w:val="single" w:sz="4" w:space="0" w:color="auto"/>
            </w:tcBorders>
            <w:shd w:val="clear" w:color="000000" w:fill="D9D9D9"/>
            <w:vAlign w:val="center"/>
            <w:hideMark/>
          </w:tcPr>
          <w:p w14:paraId="40C84BE1"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Neto radni kapital</w:t>
            </w:r>
          </w:p>
        </w:tc>
        <w:tc>
          <w:tcPr>
            <w:tcW w:w="1160" w:type="dxa"/>
            <w:tcBorders>
              <w:top w:val="nil"/>
              <w:left w:val="nil"/>
              <w:bottom w:val="single" w:sz="4" w:space="0" w:color="auto"/>
              <w:right w:val="single" w:sz="4" w:space="0" w:color="auto"/>
            </w:tcBorders>
            <w:shd w:val="clear" w:color="000000" w:fill="D9D9D9"/>
            <w:vAlign w:val="center"/>
            <w:hideMark/>
          </w:tcPr>
          <w:p w14:paraId="5F13DA51"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-973.971</w:t>
            </w:r>
          </w:p>
        </w:tc>
        <w:tc>
          <w:tcPr>
            <w:tcW w:w="1160" w:type="dxa"/>
            <w:tcBorders>
              <w:top w:val="nil"/>
              <w:left w:val="nil"/>
              <w:bottom w:val="single" w:sz="4" w:space="0" w:color="auto"/>
              <w:right w:val="single" w:sz="4" w:space="0" w:color="auto"/>
            </w:tcBorders>
            <w:shd w:val="clear" w:color="000000" w:fill="D9D9D9"/>
            <w:vAlign w:val="center"/>
            <w:hideMark/>
          </w:tcPr>
          <w:p w14:paraId="17AB3EA1"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-992.570</w:t>
            </w:r>
          </w:p>
        </w:tc>
        <w:tc>
          <w:tcPr>
            <w:tcW w:w="1160" w:type="dxa"/>
            <w:tcBorders>
              <w:top w:val="nil"/>
              <w:left w:val="nil"/>
              <w:bottom w:val="single" w:sz="4" w:space="0" w:color="auto"/>
              <w:right w:val="single" w:sz="4" w:space="0" w:color="auto"/>
            </w:tcBorders>
            <w:shd w:val="clear" w:color="000000" w:fill="D9D9D9"/>
            <w:vAlign w:val="center"/>
            <w:hideMark/>
          </w:tcPr>
          <w:p w14:paraId="1F8E5ADE"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-807.750</w:t>
            </w:r>
          </w:p>
        </w:tc>
        <w:tc>
          <w:tcPr>
            <w:tcW w:w="1160" w:type="dxa"/>
            <w:tcBorders>
              <w:top w:val="nil"/>
              <w:left w:val="nil"/>
              <w:bottom w:val="single" w:sz="4" w:space="0" w:color="auto"/>
              <w:right w:val="single" w:sz="4" w:space="0" w:color="auto"/>
            </w:tcBorders>
            <w:shd w:val="clear" w:color="000000" w:fill="D9D9D9"/>
            <w:vAlign w:val="center"/>
            <w:hideMark/>
          </w:tcPr>
          <w:p w14:paraId="3340A8D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-1.217.866</w:t>
            </w:r>
          </w:p>
        </w:tc>
        <w:tc>
          <w:tcPr>
            <w:tcW w:w="1160" w:type="dxa"/>
            <w:tcBorders>
              <w:top w:val="nil"/>
              <w:left w:val="nil"/>
              <w:bottom w:val="single" w:sz="4" w:space="0" w:color="auto"/>
              <w:right w:val="single" w:sz="4" w:space="0" w:color="auto"/>
            </w:tcBorders>
            <w:shd w:val="clear" w:color="000000" w:fill="D9D9D9"/>
            <w:vAlign w:val="center"/>
            <w:hideMark/>
          </w:tcPr>
          <w:p w14:paraId="529A817F"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-1.250.900</w:t>
            </w:r>
          </w:p>
        </w:tc>
      </w:tr>
    </w:tbl>
    <w:p w14:paraId="5BA83AC7" w14:textId="77777777" w:rsidR="00EA6933" w:rsidRPr="00EA6933" w:rsidRDefault="00EA6933" w:rsidP="00EA6933">
      <w:pPr>
        <w:spacing w:after="0" w:line="240" w:lineRule="auto"/>
        <w:rPr>
          <w:rFonts w:ascii="Arial" w:eastAsia="Times New Roman" w:hAnsi="Arial" w:cs="Arial"/>
          <w:sz w:val="16"/>
          <w:szCs w:val="16"/>
        </w:rPr>
      </w:pPr>
    </w:p>
    <w:p w14:paraId="5FE3C58C"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Koeficijent tekuće likvidnosti pokazuje omjer kratkotrajne imovine i kratkoročnih obveza, odnosno mjeri sposobnost poduzeća da podmiri svoje kratkoročne obveze. Teoretska vrijednost koeficijenta tekuće likvidnosti iznosi minimalno 2.</w:t>
      </w:r>
    </w:p>
    <w:p w14:paraId="401E8338"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Za 2024. godinu KTL iznosi </w:t>
      </w:r>
      <w:r w:rsidRPr="00EA6933">
        <w:rPr>
          <w:rFonts w:ascii="Arial" w:eastAsia="Times New Roman" w:hAnsi="Arial" w:cs="Arial"/>
          <w:b/>
          <w:bCs/>
          <w:sz w:val="24"/>
          <w:szCs w:val="24"/>
          <w:lang w:eastAsia="hr-HR"/>
        </w:rPr>
        <w:t>0,71</w:t>
      </w:r>
      <w:r w:rsidRPr="00EA6933">
        <w:rPr>
          <w:rFonts w:ascii="Arial" w:eastAsia="Times New Roman" w:hAnsi="Arial" w:cs="Arial"/>
          <w:sz w:val="24"/>
          <w:szCs w:val="24"/>
          <w:lang w:eastAsia="hr-HR"/>
        </w:rPr>
        <w:t>.</w:t>
      </w:r>
    </w:p>
    <w:p w14:paraId="6D9CE2BE" w14:textId="77777777" w:rsidR="00EA6933" w:rsidRPr="00EA6933" w:rsidRDefault="00EA6933" w:rsidP="00EA6933">
      <w:pPr>
        <w:numPr>
          <w:ilvl w:val="0"/>
          <w:numId w:val="13"/>
        </w:numPr>
        <w:spacing w:after="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Neto radni kapital označava kratkotrajnu imovinu koja se financira dugoročnim izvorima. U trenutku kada radni kapital postane negativan, kratkotrajna imovina se počinje financirati dugoročnim izvorima što upućuje na određene probleme u poslovanju vezane uz likvidnost. </w:t>
      </w:r>
    </w:p>
    <w:p w14:paraId="36B38657" w14:textId="77777777" w:rsidR="00EA6933" w:rsidRPr="00EA6933" w:rsidRDefault="00EA6933" w:rsidP="00EA6933">
      <w:pPr>
        <w:numPr>
          <w:ilvl w:val="2"/>
          <w:numId w:val="8"/>
        </w:numPr>
        <w:spacing w:before="240" w:after="120" w:line="276" w:lineRule="auto"/>
        <w:ind w:left="709" w:hanging="709"/>
        <w:jc w:val="both"/>
        <w:rPr>
          <w:rFonts w:ascii="Arial" w:eastAsia="Times New Roman" w:hAnsi="Arial" w:cs="Arial"/>
          <w:b/>
          <w:bCs/>
          <w:sz w:val="24"/>
          <w:szCs w:val="24"/>
          <w:lang w:eastAsia="hr-HR"/>
        </w:rPr>
      </w:pPr>
      <w:r w:rsidRPr="00EA6933">
        <w:rPr>
          <w:rFonts w:ascii="Arial" w:eastAsia="Times New Roman" w:hAnsi="Arial" w:cs="Arial"/>
          <w:b/>
          <w:bCs/>
          <w:sz w:val="24"/>
          <w:szCs w:val="24"/>
          <w:lang w:eastAsia="hr-HR"/>
        </w:rPr>
        <w:t xml:space="preserve">Pokazatelj financijske stabilnosti </w:t>
      </w:r>
    </w:p>
    <w:p w14:paraId="20358010" w14:textId="77777777" w:rsidR="00EA6933" w:rsidRPr="00EA6933" w:rsidRDefault="00EA6933" w:rsidP="00EA6933">
      <w:pPr>
        <w:tabs>
          <w:tab w:val="left" w:pos="993"/>
        </w:tabs>
        <w:spacing w:after="0" w:line="276" w:lineRule="auto"/>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t>Tablica 6. Prikaz koeficijenta financijske stabilnosti</w:t>
      </w:r>
    </w:p>
    <w:tbl>
      <w:tblPr>
        <w:tblW w:w="9448" w:type="dxa"/>
        <w:tblInd w:w="-10" w:type="dxa"/>
        <w:tblLook w:val="04A0" w:firstRow="1" w:lastRow="0" w:firstColumn="1" w:lastColumn="0" w:noHBand="0" w:noVBand="1"/>
      </w:tblPr>
      <w:tblGrid>
        <w:gridCol w:w="3648"/>
        <w:gridCol w:w="1160"/>
        <w:gridCol w:w="1160"/>
        <w:gridCol w:w="1160"/>
        <w:gridCol w:w="1160"/>
        <w:gridCol w:w="1160"/>
      </w:tblGrid>
      <w:tr w:rsidR="00EA6933" w:rsidRPr="00EA6933" w14:paraId="7B029398" w14:textId="77777777" w:rsidTr="007356C2">
        <w:trPr>
          <w:trHeight w:hRule="exact" w:val="284"/>
        </w:trPr>
        <w:tc>
          <w:tcPr>
            <w:tcW w:w="3648" w:type="dxa"/>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3F7EB217" w14:textId="77777777" w:rsidR="00EA6933" w:rsidRPr="00EA6933" w:rsidRDefault="00EA6933" w:rsidP="00EA6933">
            <w:pPr>
              <w:spacing w:line="312" w:lineRule="auto"/>
              <w:jc w:val="center"/>
              <w:rPr>
                <w:rFonts w:ascii="Arial" w:eastAsia="Times New Roman" w:hAnsi="Arial" w:cs="Arial"/>
                <w:b/>
                <w:bCs/>
                <w:sz w:val="16"/>
                <w:szCs w:val="16"/>
              </w:rPr>
            </w:pPr>
            <w:bookmarkStart w:id="10" w:name="_Toc48648772"/>
            <w:r w:rsidRPr="00EA6933">
              <w:rPr>
                <w:rFonts w:ascii="Arial" w:eastAsia="Times New Roman" w:hAnsi="Arial" w:cs="Arial"/>
                <w:b/>
                <w:bCs/>
                <w:sz w:val="16"/>
                <w:szCs w:val="16"/>
              </w:rPr>
              <w:t>OPIS</w:t>
            </w:r>
          </w:p>
        </w:tc>
        <w:tc>
          <w:tcPr>
            <w:tcW w:w="1160" w:type="dxa"/>
            <w:tcBorders>
              <w:top w:val="single" w:sz="4" w:space="0" w:color="auto"/>
              <w:left w:val="nil"/>
              <w:bottom w:val="single" w:sz="4" w:space="0" w:color="auto"/>
              <w:right w:val="single" w:sz="4" w:space="0" w:color="auto"/>
            </w:tcBorders>
            <w:shd w:val="clear" w:color="000000" w:fill="A6A6A6"/>
            <w:vAlign w:val="center"/>
            <w:hideMark/>
          </w:tcPr>
          <w:p w14:paraId="7A82F2BF"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sz w:val="16"/>
                <w:szCs w:val="16"/>
              </w:rPr>
              <w:t>2020.</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0CA773C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2021.</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0F11BD2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2022.</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3692B140"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2023.</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34A6B88C"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2024.</w:t>
            </w:r>
          </w:p>
        </w:tc>
      </w:tr>
      <w:tr w:rsidR="00EA6933" w:rsidRPr="00EA6933" w14:paraId="5E6F2F29"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2CE52C06"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Dugotrajna imovina</w:t>
            </w:r>
          </w:p>
        </w:tc>
        <w:tc>
          <w:tcPr>
            <w:tcW w:w="1160" w:type="dxa"/>
            <w:tcBorders>
              <w:top w:val="nil"/>
              <w:left w:val="nil"/>
              <w:bottom w:val="single" w:sz="4" w:space="0" w:color="auto"/>
              <w:right w:val="single" w:sz="4" w:space="0" w:color="auto"/>
            </w:tcBorders>
            <w:shd w:val="clear" w:color="auto" w:fill="auto"/>
            <w:noWrap/>
            <w:vAlign w:val="center"/>
            <w:hideMark/>
          </w:tcPr>
          <w:p w14:paraId="6ED6BB1E"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12.085.743</w:t>
            </w:r>
          </w:p>
        </w:tc>
        <w:tc>
          <w:tcPr>
            <w:tcW w:w="1160" w:type="dxa"/>
            <w:tcBorders>
              <w:top w:val="nil"/>
              <w:left w:val="nil"/>
              <w:bottom w:val="single" w:sz="4" w:space="0" w:color="auto"/>
              <w:right w:val="single" w:sz="4" w:space="0" w:color="auto"/>
            </w:tcBorders>
            <w:shd w:val="clear" w:color="auto" w:fill="auto"/>
            <w:noWrap/>
            <w:vAlign w:val="center"/>
            <w:hideMark/>
          </w:tcPr>
          <w:p w14:paraId="3ED55F0A"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11.887.911</w:t>
            </w:r>
          </w:p>
        </w:tc>
        <w:tc>
          <w:tcPr>
            <w:tcW w:w="1160" w:type="dxa"/>
            <w:tcBorders>
              <w:top w:val="nil"/>
              <w:left w:val="nil"/>
              <w:bottom w:val="single" w:sz="4" w:space="0" w:color="auto"/>
              <w:right w:val="single" w:sz="4" w:space="0" w:color="auto"/>
            </w:tcBorders>
            <w:shd w:val="clear" w:color="auto" w:fill="auto"/>
            <w:noWrap/>
            <w:vAlign w:val="center"/>
            <w:hideMark/>
          </w:tcPr>
          <w:p w14:paraId="1AABE744"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11.174.323</w:t>
            </w:r>
          </w:p>
        </w:tc>
        <w:tc>
          <w:tcPr>
            <w:tcW w:w="1160" w:type="dxa"/>
            <w:tcBorders>
              <w:top w:val="nil"/>
              <w:left w:val="nil"/>
              <w:bottom w:val="single" w:sz="4" w:space="0" w:color="auto"/>
              <w:right w:val="single" w:sz="4" w:space="0" w:color="auto"/>
            </w:tcBorders>
            <w:shd w:val="clear" w:color="auto" w:fill="auto"/>
            <w:noWrap/>
            <w:vAlign w:val="center"/>
            <w:hideMark/>
          </w:tcPr>
          <w:p w14:paraId="4FD3CD01"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10.266.347</w:t>
            </w:r>
          </w:p>
        </w:tc>
        <w:tc>
          <w:tcPr>
            <w:tcW w:w="1160" w:type="dxa"/>
            <w:tcBorders>
              <w:top w:val="nil"/>
              <w:left w:val="nil"/>
              <w:bottom w:val="single" w:sz="4" w:space="0" w:color="auto"/>
              <w:right w:val="single" w:sz="4" w:space="0" w:color="auto"/>
            </w:tcBorders>
            <w:shd w:val="clear" w:color="auto" w:fill="auto"/>
            <w:noWrap/>
            <w:vAlign w:val="center"/>
            <w:hideMark/>
          </w:tcPr>
          <w:p w14:paraId="0B6C8D23"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11.534.391</w:t>
            </w:r>
          </w:p>
        </w:tc>
      </w:tr>
      <w:tr w:rsidR="00EA6933" w:rsidRPr="00EA6933" w14:paraId="6321A459"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6A71219E"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Glavnica i dugoročne obveze</w:t>
            </w:r>
          </w:p>
        </w:tc>
        <w:tc>
          <w:tcPr>
            <w:tcW w:w="1160" w:type="dxa"/>
            <w:tcBorders>
              <w:top w:val="nil"/>
              <w:left w:val="nil"/>
              <w:bottom w:val="single" w:sz="4" w:space="0" w:color="auto"/>
              <w:right w:val="single" w:sz="4" w:space="0" w:color="auto"/>
            </w:tcBorders>
            <w:shd w:val="clear" w:color="auto" w:fill="auto"/>
            <w:noWrap/>
            <w:vAlign w:val="center"/>
            <w:hideMark/>
          </w:tcPr>
          <w:p w14:paraId="11238F8E"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8.818.350</w:t>
            </w:r>
          </w:p>
        </w:tc>
        <w:tc>
          <w:tcPr>
            <w:tcW w:w="1160" w:type="dxa"/>
            <w:tcBorders>
              <w:top w:val="nil"/>
              <w:left w:val="nil"/>
              <w:bottom w:val="single" w:sz="4" w:space="0" w:color="auto"/>
              <w:right w:val="single" w:sz="4" w:space="0" w:color="auto"/>
            </w:tcBorders>
            <w:shd w:val="clear" w:color="auto" w:fill="auto"/>
            <w:noWrap/>
            <w:vAlign w:val="center"/>
            <w:hideMark/>
          </w:tcPr>
          <w:p w14:paraId="1C46F64E"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8.246.082</w:t>
            </w:r>
          </w:p>
        </w:tc>
        <w:tc>
          <w:tcPr>
            <w:tcW w:w="1160" w:type="dxa"/>
            <w:tcBorders>
              <w:top w:val="nil"/>
              <w:left w:val="nil"/>
              <w:bottom w:val="single" w:sz="4" w:space="0" w:color="auto"/>
              <w:right w:val="single" w:sz="4" w:space="0" w:color="auto"/>
            </w:tcBorders>
            <w:shd w:val="clear" w:color="auto" w:fill="auto"/>
            <w:noWrap/>
            <w:vAlign w:val="center"/>
            <w:hideMark/>
          </w:tcPr>
          <w:p w14:paraId="6963DF42"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7.509.736</w:t>
            </w:r>
          </w:p>
        </w:tc>
        <w:tc>
          <w:tcPr>
            <w:tcW w:w="1160" w:type="dxa"/>
            <w:tcBorders>
              <w:top w:val="nil"/>
              <w:left w:val="nil"/>
              <w:bottom w:val="single" w:sz="4" w:space="0" w:color="auto"/>
              <w:right w:val="single" w:sz="4" w:space="0" w:color="auto"/>
            </w:tcBorders>
            <w:shd w:val="clear" w:color="auto" w:fill="auto"/>
            <w:noWrap/>
            <w:vAlign w:val="center"/>
            <w:hideMark/>
          </w:tcPr>
          <w:p w14:paraId="3778C769"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sz w:val="16"/>
                <w:szCs w:val="16"/>
              </w:rPr>
              <w:t>6.491.505</w:t>
            </w:r>
          </w:p>
        </w:tc>
        <w:tc>
          <w:tcPr>
            <w:tcW w:w="1160" w:type="dxa"/>
            <w:tcBorders>
              <w:top w:val="nil"/>
              <w:left w:val="nil"/>
              <w:bottom w:val="single" w:sz="4" w:space="0" w:color="auto"/>
              <w:right w:val="single" w:sz="4" w:space="0" w:color="auto"/>
            </w:tcBorders>
            <w:shd w:val="clear" w:color="000000" w:fill="FFFFFF"/>
            <w:vAlign w:val="center"/>
            <w:hideMark/>
          </w:tcPr>
          <w:p w14:paraId="2F86D838"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7.439.364</w:t>
            </w:r>
          </w:p>
        </w:tc>
      </w:tr>
      <w:tr w:rsidR="00EA6933" w:rsidRPr="00EA6933" w14:paraId="38D9DC90"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D9D9D9"/>
            <w:vAlign w:val="center"/>
            <w:hideMark/>
          </w:tcPr>
          <w:p w14:paraId="1CAAD987"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KFS</w:t>
            </w:r>
          </w:p>
        </w:tc>
        <w:tc>
          <w:tcPr>
            <w:tcW w:w="1160" w:type="dxa"/>
            <w:tcBorders>
              <w:top w:val="nil"/>
              <w:left w:val="nil"/>
              <w:bottom w:val="single" w:sz="4" w:space="0" w:color="auto"/>
              <w:right w:val="single" w:sz="4" w:space="0" w:color="auto"/>
            </w:tcBorders>
            <w:shd w:val="clear" w:color="000000" w:fill="D9D9D9"/>
            <w:vAlign w:val="center"/>
            <w:hideMark/>
          </w:tcPr>
          <w:p w14:paraId="6167D8CC"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1,37</w:t>
            </w:r>
          </w:p>
        </w:tc>
        <w:tc>
          <w:tcPr>
            <w:tcW w:w="1160" w:type="dxa"/>
            <w:tcBorders>
              <w:top w:val="nil"/>
              <w:left w:val="nil"/>
              <w:bottom w:val="single" w:sz="4" w:space="0" w:color="auto"/>
              <w:right w:val="single" w:sz="4" w:space="0" w:color="auto"/>
            </w:tcBorders>
            <w:shd w:val="clear" w:color="000000" w:fill="D9D9D9"/>
            <w:vAlign w:val="center"/>
            <w:hideMark/>
          </w:tcPr>
          <w:p w14:paraId="67F4F242"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1,44</w:t>
            </w:r>
          </w:p>
        </w:tc>
        <w:tc>
          <w:tcPr>
            <w:tcW w:w="1160" w:type="dxa"/>
            <w:tcBorders>
              <w:top w:val="nil"/>
              <w:left w:val="nil"/>
              <w:bottom w:val="single" w:sz="4" w:space="0" w:color="auto"/>
              <w:right w:val="single" w:sz="4" w:space="0" w:color="auto"/>
            </w:tcBorders>
            <w:shd w:val="clear" w:color="000000" w:fill="D9D9D9"/>
            <w:vAlign w:val="center"/>
            <w:hideMark/>
          </w:tcPr>
          <w:p w14:paraId="3AFEBA40"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1,49</w:t>
            </w:r>
          </w:p>
        </w:tc>
        <w:tc>
          <w:tcPr>
            <w:tcW w:w="1160" w:type="dxa"/>
            <w:tcBorders>
              <w:top w:val="nil"/>
              <w:left w:val="nil"/>
              <w:bottom w:val="single" w:sz="4" w:space="0" w:color="auto"/>
              <w:right w:val="single" w:sz="4" w:space="0" w:color="auto"/>
            </w:tcBorders>
            <w:shd w:val="clear" w:color="000000" w:fill="D9D9D9"/>
            <w:vAlign w:val="center"/>
            <w:hideMark/>
          </w:tcPr>
          <w:p w14:paraId="593BEEC8"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1,58</w:t>
            </w:r>
          </w:p>
        </w:tc>
        <w:tc>
          <w:tcPr>
            <w:tcW w:w="1160" w:type="dxa"/>
            <w:tcBorders>
              <w:top w:val="nil"/>
              <w:left w:val="nil"/>
              <w:bottom w:val="single" w:sz="4" w:space="0" w:color="auto"/>
              <w:right w:val="single" w:sz="4" w:space="0" w:color="auto"/>
            </w:tcBorders>
            <w:shd w:val="clear" w:color="000000" w:fill="D9D9D9"/>
            <w:vAlign w:val="center"/>
            <w:hideMark/>
          </w:tcPr>
          <w:p w14:paraId="6B445E1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1,55</w:t>
            </w:r>
          </w:p>
        </w:tc>
      </w:tr>
    </w:tbl>
    <w:p w14:paraId="18EF5C41" w14:textId="77777777" w:rsidR="00EA6933" w:rsidRPr="00EA6933" w:rsidRDefault="00EA6933" w:rsidP="00EA6933">
      <w:pPr>
        <w:numPr>
          <w:ilvl w:val="0"/>
          <w:numId w:val="13"/>
        </w:numPr>
        <w:spacing w:after="0" w:line="276" w:lineRule="auto"/>
        <w:ind w:left="0" w:firstLine="0"/>
        <w:jc w:val="both"/>
        <w:rPr>
          <w:rFonts w:ascii="Arial" w:eastAsia="Times New Roman" w:hAnsi="Arial" w:cs="Arial"/>
          <w:sz w:val="16"/>
          <w:szCs w:val="16"/>
          <w:lang w:eastAsia="hr-HR"/>
        </w:rPr>
      </w:pPr>
    </w:p>
    <w:p w14:paraId="31B2D838"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Koeficijent financijske stabilnosti u omjer stavlja dugotrajnu imovinu društva s njegovim kapitalom i dugoročnim obvezama. Poželjna razina ovoga koeficijenta je manje od 1, jer se iz dijela dugoročnih izvora treba financirati ne samo dugotrajna, već i kratkotrajna imovina. </w:t>
      </w:r>
    </w:p>
    <w:p w14:paraId="351DB56F"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Za 2024. godinu KFS iznosi </w:t>
      </w:r>
      <w:r w:rsidRPr="00EA6933">
        <w:rPr>
          <w:rFonts w:ascii="Arial" w:eastAsia="Times New Roman" w:hAnsi="Arial" w:cs="Arial"/>
          <w:b/>
          <w:bCs/>
          <w:sz w:val="24"/>
          <w:szCs w:val="24"/>
          <w:lang w:eastAsia="hr-HR"/>
        </w:rPr>
        <w:t>1,55</w:t>
      </w:r>
      <w:r w:rsidRPr="00EA6933">
        <w:rPr>
          <w:rFonts w:ascii="Arial" w:eastAsia="Times New Roman" w:hAnsi="Arial" w:cs="Arial"/>
          <w:sz w:val="24"/>
          <w:szCs w:val="24"/>
          <w:lang w:eastAsia="hr-HR"/>
        </w:rPr>
        <w:t xml:space="preserve"> što ukazuje da Društvo i dalje nema radni kapital.</w:t>
      </w:r>
      <w:bookmarkEnd w:id="10"/>
    </w:p>
    <w:p w14:paraId="4A9B9C74" w14:textId="77777777" w:rsidR="00EA6933" w:rsidRPr="00EA6933" w:rsidRDefault="00EA6933" w:rsidP="00EA6933">
      <w:pPr>
        <w:numPr>
          <w:ilvl w:val="2"/>
          <w:numId w:val="8"/>
        </w:numPr>
        <w:spacing w:before="240" w:after="120" w:line="276" w:lineRule="auto"/>
        <w:ind w:left="709" w:hanging="709"/>
        <w:jc w:val="both"/>
        <w:rPr>
          <w:rFonts w:ascii="Arial" w:eastAsia="Times New Roman" w:hAnsi="Arial" w:cs="Arial"/>
          <w:b/>
          <w:bCs/>
          <w:sz w:val="24"/>
          <w:szCs w:val="24"/>
          <w:lang w:eastAsia="hr-HR"/>
        </w:rPr>
      </w:pPr>
      <w:bookmarkStart w:id="11" w:name="_Toc100056944"/>
      <w:r w:rsidRPr="00EA6933">
        <w:rPr>
          <w:rFonts w:ascii="Arial" w:eastAsia="Times New Roman" w:hAnsi="Arial" w:cs="Arial"/>
          <w:b/>
          <w:bCs/>
          <w:sz w:val="24"/>
          <w:szCs w:val="24"/>
          <w:lang w:eastAsia="hr-HR"/>
        </w:rPr>
        <w:t>P</w:t>
      </w:r>
      <w:bookmarkEnd w:id="11"/>
      <w:r w:rsidRPr="00EA6933">
        <w:rPr>
          <w:rFonts w:ascii="Arial" w:eastAsia="Times New Roman" w:hAnsi="Arial" w:cs="Arial"/>
          <w:b/>
          <w:bCs/>
          <w:sz w:val="24"/>
          <w:szCs w:val="24"/>
          <w:lang w:eastAsia="hr-HR"/>
        </w:rPr>
        <w:t>okazatelj zaduženosti</w:t>
      </w:r>
    </w:p>
    <w:p w14:paraId="4ECDF9AA" w14:textId="77777777" w:rsidR="00EA6933" w:rsidRPr="00EA6933" w:rsidRDefault="00EA6933" w:rsidP="00EA6933">
      <w:pPr>
        <w:tabs>
          <w:tab w:val="left" w:pos="993"/>
        </w:tabs>
        <w:spacing w:after="0" w:line="276" w:lineRule="auto"/>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t>Tablica 7. Prikaz koeficijenta zaduženosti</w:t>
      </w:r>
    </w:p>
    <w:tbl>
      <w:tblPr>
        <w:tblW w:w="9448" w:type="dxa"/>
        <w:tblInd w:w="-10" w:type="dxa"/>
        <w:tblLook w:val="04A0" w:firstRow="1" w:lastRow="0" w:firstColumn="1" w:lastColumn="0" w:noHBand="0" w:noVBand="1"/>
      </w:tblPr>
      <w:tblGrid>
        <w:gridCol w:w="3648"/>
        <w:gridCol w:w="1160"/>
        <w:gridCol w:w="1160"/>
        <w:gridCol w:w="1160"/>
        <w:gridCol w:w="1160"/>
        <w:gridCol w:w="1160"/>
      </w:tblGrid>
      <w:tr w:rsidR="00EA6933" w:rsidRPr="00EA6933" w14:paraId="3E63D397" w14:textId="77777777" w:rsidTr="007356C2">
        <w:trPr>
          <w:trHeight w:hRule="exact" w:val="284"/>
        </w:trPr>
        <w:tc>
          <w:tcPr>
            <w:tcW w:w="3648" w:type="dxa"/>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4EEFBB55"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OPIS</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5DF29E25"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2020.</w:t>
            </w:r>
          </w:p>
        </w:tc>
        <w:tc>
          <w:tcPr>
            <w:tcW w:w="1160" w:type="dxa"/>
            <w:tcBorders>
              <w:top w:val="single" w:sz="4" w:space="0" w:color="auto"/>
              <w:left w:val="nil"/>
              <w:bottom w:val="single" w:sz="4" w:space="0" w:color="auto"/>
              <w:right w:val="single" w:sz="4" w:space="0" w:color="auto"/>
            </w:tcBorders>
            <w:shd w:val="clear" w:color="000000" w:fill="A6A6A6"/>
            <w:vAlign w:val="center"/>
            <w:hideMark/>
          </w:tcPr>
          <w:p w14:paraId="3FA9CB5B"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sz w:val="16"/>
                <w:szCs w:val="16"/>
              </w:rPr>
              <w:t>2021.</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6FEB3AB2"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2022.</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2E37BA4C"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2023.</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2AF2C45C"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2024.</w:t>
            </w:r>
          </w:p>
        </w:tc>
      </w:tr>
      <w:tr w:rsidR="00EA6933" w:rsidRPr="00EA6933" w14:paraId="229B3D74"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16B91D5A"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Ukupne obveze</w:t>
            </w:r>
          </w:p>
        </w:tc>
        <w:tc>
          <w:tcPr>
            <w:tcW w:w="1160" w:type="dxa"/>
            <w:tcBorders>
              <w:top w:val="nil"/>
              <w:left w:val="nil"/>
              <w:bottom w:val="single" w:sz="4" w:space="0" w:color="auto"/>
              <w:right w:val="single" w:sz="4" w:space="0" w:color="auto"/>
            </w:tcBorders>
            <w:shd w:val="clear" w:color="auto" w:fill="auto"/>
            <w:noWrap/>
            <w:vAlign w:val="center"/>
            <w:hideMark/>
          </w:tcPr>
          <w:p w14:paraId="56A7C2D6"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9.407.902</w:t>
            </w:r>
          </w:p>
        </w:tc>
        <w:tc>
          <w:tcPr>
            <w:tcW w:w="1160" w:type="dxa"/>
            <w:tcBorders>
              <w:top w:val="nil"/>
              <w:left w:val="nil"/>
              <w:bottom w:val="single" w:sz="4" w:space="0" w:color="auto"/>
              <w:right w:val="single" w:sz="4" w:space="0" w:color="auto"/>
            </w:tcBorders>
            <w:shd w:val="clear" w:color="auto" w:fill="auto"/>
            <w:noWrap/>
            <w:vAlign w:val="center"/>
            <w:hideMark/>
          </w:tcPr>
          <w:p w14:paraId="7CEA6DF8"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9.296.658</w:t>
            </w:r>
          </w:p>
        </w:tc>
        <w:tc>
          <w:tcPr>
            <w:tcW w:w="1160" w:type="dxa"/>
            <w:tcBorders>
              <w:top w:val="nil"/>
              <w:left w:val="nil"/>
              <w:bottom w:val="single" w:sz="4" w:space="0" w:color="auto"/>
              <w:right w:val="single" w:sz="4" w:space="0" w:color="auto"/>
            </w:tcBorders>
            <w:shd w:val="clear" w:color="auto" w:fill="auto"/>
            <w:noWrap/>
            <w:vAlign w:val="center"/>
            <w:hideMark/>
          </w:tcPr>
          <w:p w14:paraId="4889C851"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9.059.273</w:t>
            </w:r>
          </w:p>
        </w:tc>
        <w:tc>
          <w:tcPr>
            <w:tcW w:w="1160" w:type="dxa"/>
            <w:tcBorders>
              <w:top w:val="nil"/>
              <w:left w:val="nil"/>
              <w:bottom w:val="single" w:sz="4" w:space="0" w:color="auto"/>
              <w:right w:val="single" w:sz="4" w:space="0" w:color="auto"/>
            </w:tcBorders>
            <w:shd w:val="clear" w:color="auto" w:fill="auto"/>
            <w:noWrap/>
            <w:vAlign w:val="center"/>
            <w:hideMark/>
          </w:tcPr>
          <w:p w14:paraId="68D6A3C4"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sz w:val="16"/>
                <w:szCs w:val="16"/>
              </w:rPr>
              <w:t>6.373.108</w:t>
            </w:r>
          </w:p>
        </w:tc>
        <w:tc>
          <w:tcPr>
            <w:tcW w:w="1160" w:type="dxa"/>
            <w:tcBorders>
              <w:top w:val="nil"/>
              <w:left w:val="nil"/>
              <w:bottom w:val="single" w:sz="4" w:space="0" w:color="auto"/>
              <w:right w:val="single" w:sz="4" w:space="0" w:color="auto"/>
            </w:tcBorders>
            <w:shd w:val="clear" w:color="000000" w:fill="FFFFFF"/>
            <w:vAlign w:val="center"/>
            <w:hideMark/>
          </w:tcPr>
          <w:p w14:paraId="0D5575F7"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8.847.509</w:t>
            </w:r>
          </w:p>
        </w:tc>
      </w:tr>
      <w:tr w:rsidR="00EA6933" w:rsidRPr="00EA6933" w14:paraId="2313D743"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389151E0"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Ukupna imovina</w:t>
            </w:r>
          </w:p>
        </w:tc>
        <w:tc>
          <w:tcPr>
            <w:tcW w:w="1160" w:type="dxa"/>
            <w:tcBorders>
              <w:top w:val="nil"/>
              <w:left w:val="nil"/>
              <w:bottom w:val="single" w:sz="4" w:space="0" w:color="auto"/>
              <w:right w:val="single" w:sz="4" w:space="0" w:color="auto"/>
            </w:tcBorders>
            <w:shd w:val="clear" w:color="auto" w:fill="auto"/>
            <w:noWrap/>
            <w:vAlign w:val="center"/>
            <w:hideMark/>
          </w:tcPr>
          <w:p w14:paraId="39FEC3D6"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16.204.668</w:t>
            </w:r>
          </w:p>
        </w:tc>
        <w:tc>
          <w:tcPr>
            <w:tcW w:w="1160" w:type="dxa"/>
            <w:tcBorders>
              <w:top w:val="nil"/>
              <w:left w:val="nil"/>
              <w:bottom w:val="single" w:sz="4" w:space="0" w:color="auto"/>
              <w:right w:val="single" w:sz="4" w:space="0" w:color="auto"/>
            </w:tcBorders>
            <w:shd w:val="clear" w:color="auto" w:fill="auto"/>
            <w:noWrap/>
            <w:vAlign w:val="center"/>
            <w:hideMark/>
          </w:tcPr>
          <w:p w14:paraId="7DABAAD3"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15.753.527</w:t>
            </w:r>
          </w:p>
        </w:tc>
        <w:tc>
          <w:tcPr>
            <w:tcW w:w="1160" w:type="dxa"/>
            <w:tcBorders>
              <w:top w:val="nil"/>
              <w:left w:val="nil"/>
              <w:bottom w:val="single" w:sz="4" w:space="0" w:color="auto"/>
              <w:right w:val="single" w:sz="4" w:space="0" w:color="auto"/>
            </w:tcBorders>
            <w:shd w:val="clear" w:color="auto" w:fill="auto"/>
            <w:noWrap/>
            <w:vAlign w:val="center"/>
            <w:hideMark/>
          </w:tcPr>
          <w:p w14:paraId="3DC568CC"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15.383.233</w:t>
            </w:r>
          </w:p>
        </w:tc>
        <w:tc>
          <w:tcPr>
            <w:tcW w:w="1160" w:type="dxa"/>
            <w:tcBorders>
              <w:top w:val="nil"/>
              <w:left w:val="nil"/>
              <w:bottom w:val="single" w:sz="4" w:space="0" w:color="auto"/>
              <w:right w:val="single" w:sz="4" w:space="0" w:color="auto"/>
            </w:tcBorders>
            <w:shd w:val="clear" w:color="auto" w:fill="auto"/>
            <w:noWrap/>
            <w:vAlign w:val="center"/>
            <w:hideMark/>
          </w:tcPr>
          <w:p w14:paraId="59523598"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12.105.596</w:t>
            </w:r>
          </w:p>
        </w:tc>
        <w:tc>
          <w:tcPr>
            <w:tcW w:w="1160" w:type="dxa"/>
            <w:tcBorders>
              <w:top w:val="nil"/>
              <w:left w:val="nil"/>
              <w:bottom w:val="single" w:sz="4" w:space="0" w:color="auto"/>
              <w:right w:val="single" w:sz="4" w:space="0" w:color="auto"/>
            </w:tcBorders>
            <w:shd w:val="clear" w:color="auto" w:fill="auto"/>
            <w:noWrap/>
            <w:vAlign w:val="center"/>
            <w:hideMark/>
          </w:tcPr>
          <w:p w14:paraId="41DF001B"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14.643.891</w:t>
            </w:r>
          </w:p>
        </w:tc>
      </w:tr>
      <w:tr w:rsidR="00EA6933" w:rsidRPr="00EA6933" w14:paraId="7BAE8CC9"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D9D9D9"/>
            <w:vAlign w:val="center"/>
            <w:hideMark/>
          </w:tcPr>
          <w:p w14:paraId="4B35FBCF"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KZ</w:t>
            </w:r>
          </w:p>
        </w:tc>
        <w:tc>
          <w:tcPr>
            <w:tcW w:w="1160" w:type="dxa"/>
            <w:tcBorders>
              <w:top w:val="nil"/>
              <w:left w:val="nil"/>
              <w:bottom w:val="single" w:sz="4" w:space="0" w:color="auto"/>
              <w:right w:val="single" w:sz="4" w:space="0" w:color="auto"/>
            </w:tcBorders>
            <w:shd w:val="clear" w:color="000000" w:fill="D9D9D9"/>
            <w:vAlign w:val="center"/>
            <w:hideMark/>
          </w:tcPr>
          <w:p w14:paraId="7109FF3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0,58</w:t>
            </w:r>
          </w:p>
        </w:tc>
        <w:tc>
          <w:tcPr>
            <w:tcW w:w="1160" w:type="dxa"/>
            <w:tcBorders>
              <w:top w:val="nil"/>
              <w:left w:val="nil"/>
              <w:bottom w:val="single" w:sz="4" w:space="0" w:color="auto"/>
              <w:right w:val="single" w:sz="4" w:space="0" w:color="auto"/>
            </w:tcBorders>
            <w:shd w:val="clear" w:color="000000" w:fill="D9D9D9"/>
            <w:vAlign w:val="center"/>
            <w:hideMark/>
          </w:tcPr>
          <w:p w14:paraId="279040E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0,59</w:t>
            </w:r>
          </w:p>
        </w:tc>
        <w:tc>
          <w:tcPr>
            <w:tcW w:w="1160" w:type="dxa"/>
            <w:tcBorders>
              <w:top w:val="nil"/>
              <w:left w:val="nil"/>
              <w:bottom w:val="single" w:sz="4" w:space="0" w:color="auto"/>
              <w:right w:val="single" w:sz="4" w:space="0" w:color="auto"/>
            </w:tcBorders>
            <w:shd w:val="clear" w:color="000000" w:fill="D9D9D9"/>
            <w:vAlign w:val="center"/>
            <w:hideMark/>
          </w:tcPr>
          <w:p w14:paraId="64170E5F"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0,59</w:t>
            </w:r>
          </w:p>
        </w:tc>
        <w:tc>
          <w:tcPr>
            <w:tcW w:w="1160" w:type="dxa"/>
            <w:tcBorders>
              <w:top w:val="nil"/>
              <w:left w:val="nil"/>
              <w:bottom w:val="single" w:sz="4" w:space="0" w:color="auto"/>
              <w:right w:val="single" w:sz="4" w:space="0" w:color="auto"/>
            </w:tcBorders>
            <w:shd w:val="clear" w:color="000000" w:fill="D9D9D9"/>
            <w:vAlign w:val="center"/>
            <w:hideMark/>
          </w:tcPr>
          <w:p w14:paraId="638F49A5"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0,53</w:t>
            </w:r>
          </w:p>
        </w:tc>
        <w:tc>
          <w:tcPr>
            <w:tcW w:w="1160" w:type="dxa"/>
            <w:tcBorders>
              <w:top w:val="nil"/>
              <w:left w:val="nil"/>
              <w:bottom w:val="single" w:sz="4" w:space="0" w:color="auto"/>
              <w:right w:val="single" w:sz="4" w:space="0" w:color="auto"/>
            </w:tcBorders>
            <w:shd w:val="clear" w:color="000000" w:fill="D9D9D9"/>
            <w:vAlign w:val="center"/>
            <w:hideMark/>
          </w:tcPr>
          <w:p w14:paraId="0B0937CE"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0,60</w:t>
            </w:r>
          </w:p>
        </w:tc>
      </w:tr>
    </w:tbl>
    <w:p w14:paraId="725BE8A3" w14:textId="77777777" w:rsidR="00EA6933" w:rsidRPr="00EA6933" w:rsidRDefault="00EA6933" w:rsidP="00EA6933">
      <w:pPr>
        <w:numPr>
          <w:ilvl w:val="0"/>
          <w:numId w:val="13"/>
        </w:numPr>
        <w:spacing w:after="0" w:line="276" w:lineRule="auto"/>
        <w:ind w:left="0" w:firstLine="0"/>
        <w:jc w:val="both"/>
        <w:rPr>
          <w:rFonts w:ascii="Arial" w:eastAsia="Times New Roman" w:hAnsi="Arial" w:cs="Arial"/>
          <w:sz w:val="16"/>
          <w:szCs w:val="16"/>
          <w:lang w:eastAsia="hr-HR"/>
        </w:rPr>
      </w:pPr>
    </w:p>
    <w:p w14:paraId="4AF8AB87"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Koeficijent zaduženosti pokazuje do koje mjere poduzeće koristi zaduženost kao oblik financiranja svojih aktivnosti. U pravilu bi trebao biti 50% ili manji. </w:t>
      </w:r>
    </w:p>
    <w:p w14:paraId="40D92CB0"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lastRenderedPageBreak/>
        <w:t xml:space="preserve">Za 2024. godinu KZ iznosi </w:t>
      </w:r>
      <w:r w:rsidRPr="00EA6933">
        <w:rPr>
          <w:rFonts w:ascii="Arial" w:eastAsia="Times New Roman" w:hAnsi="Arial" w:cs="Arial"/>
          <w:b/>
          <w:bCs/>
          <w:sz w:val="24"/>
          <w:szCs w:val="24"/>
          <w:lang w:eastAsia="hr-HR"/>
        </w:rPr>
        <w:t>60%</w:t>
      </w:r>
      <w:r w:rsidRPr="00EA6933">
        <w:rPr>
          <w:rFonts w:ascii="Arial" w:eastAsia="Times New Roman" w:hAnsi="Arial" w:cs="Arial"/>
          <w:sz w:val="24"/>
          <w:szCs w:val="24"/>
          <w:lang w:eastAsia="hr-HR"/>
        </w:rPr>
        <w:t>.</w:t>
      </w:r>
    </w:p>
    <w:p w14:paraId="66944330" w14:textId="77777777" w:rsidR="00EA6933" w:rsidRPr="00EA6933" w:rsidRDefault="00EA6933" w:rsidP="00EA6933">
      <w:pPr>
        <w:tabs>
          <w:tab w:val="left" w:pos="993"/>
        </w:tabs>
        <w:spacing w:after="0" w:line="276" w:lineRule="auto"/>
        <w:ind w:left="360" w:hanging="360"/>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t>Tablica 8. Prikaz koeficijenta vlastitog financiranja</w:t>
      </w:r>
    </w:p>
    <w:tbl>
      <w:tblPr>
        <w:tblW w:w="9448" w:type="dxa"/>
        <w:tblInd w:w="-10" w:type="dxa"/>
        <w:tblLook w:val="04A0" w:firstRow="1" w:lastRow="0" w:firstColumn="1" w:lastColumn="0" w:noHBand="0" w:noVBand="1"/>
      </w:tblPr>
      <w:tblGrid>
        <w:gridCol w:w="3648"/>
        <w:gridCol w:w="1160"/>
        <w:gridCol w:w="1160"/>
        <w:gridCol w:w="1160"/>
        <w:gridCol w:w="1160"/>
        <w:gridCol w:w="1160"/>
      </w:tblGrid>
      <w:tr w:rsidR="00EA6933" w:rsidRPr="00EA6933" w14:paraId="3F26E8F7" w14:textId="77777777" w:rsidTr="007356C2">
        <w:trPr>
          <w:trHeight w:hRule="exact" w:val="284"/>
        </w:trPr>
        <w:tc>
          <w:tcPr>
            <w:tcW w:w="3648" w:type="dxa"/>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60E26DD0"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OPIS</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699BBB8C"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2020.</w:t>
            </w:r>
          </w:p>
        </w:tc>
        <w:tc>
          <w:tcPr>
            <w:tcW w:w="1160" w:type="dxa"/>
            <w:tcBorders>
              <w:top w:val="single" w:sz="4" w:space="0" w:color="auto"/>
              <w:left w:val="nil"/>
              <w:bottom w:val="single" w:sz="4" w:space="0" w:color="auto"/>
              <w:right w:val="single" w:sz="4" w:space="0" w:color="auto"/>
            </w:tcBorders>
            <w:shd w:val="clear" w:color="000000" w:fill="A6A6A6"/>
            <w:vAlign w:val="center"/>
            <w:hideMark/>
          </w:tcPr>
          <w:p w14:paraId="1676D4C9"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sz w:val="16"/>
                <w:szCs w:val="16"/>
              </w:rPr>
              <w:t>2021.</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67CDDE36"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2022.</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5FD2AA7D"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2023.</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2FE35454"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2024.</w:t>
            </w:r>
          </w:p>
        </w:tc>
      </w:tr>
      <w:tr w:rsidR="00EA6933" w:rsidRPr="00EA6933" w14:paraId="3CBBA18F"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52C42C63"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Glavnica</w:t>
            </w:r>
          </w:p>
        </w:tc>
        <w:tc>
          <w:tcPr>
            <w:tcW w:w="1160" w:type="dxa"/>
            <w:tcBorders>
              <w:top w:val="nil"/>
              <w:left w:val="nil"/>
              <w:bottom w:val="single" w:sz="4" w:space="0" w:color="auto"/>
              <w:right w:val="single" w:sz="4" w:space="0" w:color="auto"/>
            </w:tcBorders>
            <w:shd w:val="clear" w:color="auto" w:fill="auto"/>
            <w:noWrap/>
            <w:vAlign w:val="center"/>
            <w:hideMark/>
          </w:tcPr>
          <w:p w14:paraId="4AE7B7F1"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6.796.766</w:t>
            </w:r>
          </w:p>
        </w:tc>
        <w:tc>
          <w:tcPr>
            <w:tcW w:w="1160" w:type="dxa"/>
            <w:tcBorders>
              <w:top w:val="nil"/>
              <w:left w:val="nil"/>
              <w:bottom w:val="single" w:sz="4" w:space="0" w:color="auto"/>
              <w:right w:val="single" w:sz="4" w:space="0" w:color="auto"/>
            </w:tcBorders>
            <w:shd w:val="clear" w:color="auto" w:fill="auto"/>
            <w:noWrap/>
            <w:vAlign w:val="center"/>
            <w:hideMark/>
          </w:tcPr>
          <w:p w14:paraId="36887A8F"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6.456.869</w:t>
            </w:r>
          </w:p>
        </w:tc>
        <w:tc>
          <w:tcPr>
            <w:tcW w:w="1160" w:type="dxa"/>
            <w:tcBorders>
              <w:top w:val="nil"/>
              <w:left w:val="nil"/>
              <w:bottom w:val="single" w:sz="4" w:space="0" w:color="auto"/>
              <w:right w:val="single" w:sz="4" w:space="0" w:color="auto"/>
            </w:tcBorders>
            <w:shd w:val="clear" w:color="auto" w:fill="auto"/>
            <w:noWrap/>
            <w:vAlign w:val="center"/>
            <w:hideMark/>
          </w:tcPr>
          <w:p w14:paraId="2CD289E8"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6.323.960</w:t>
            </w:r>
          </w:p>
        </w:tc>
        <w:tc>
          <w:tcPr>
            <w:tcW w:w="1160" w:type="dxa"/>
            <w:tcBorders>
              <w:top w:val="nil"/>
              <w:left w:val="nil"/>
              <w:bottom w:val="single" w:sz="4" w:space="0" w:color="auto"/>
              <w:right w:val="single" w:sz="4" w:space="0" w:color="auto"/>
            </w:tcBorders>
            <w:shd w:val="clear" w:color="auto" w:fill="auto"/>
            <w:noWrap/>
            <w:vAlign w:val="center"/>
            <w:hideMark/>
          </w:tcPr>
          <w:p w14:paraId="24014779"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sz w:val="16"/>
                <w:szCs w:val="16"/>
              </w:rPr>
              <w:t>5.688.629</w:t>
            </w:r>
          </w:p>
        </w:tc>
        <w:tc>
          <w:tcPr>
            <w:tcW w:w="1160" w:type="dxa"/>
            <w:tcBorders>
              <w:top w:val="nil"/>
              <w:left w:val="nil"/>
              <w:bottom w:val="single" w:sz="4" w:space="0" w:color="auto"/>
              <w:right w:val="single" w:sz="4" w:space="0" w:color="auto"/>
            </w:tcBorders>
            <w:shd w:val="clear" w:color="000000" w:fill="FFFFFF"/>
            <w:vAlign w:val="center"/>
            <w:hideMark/>
          </w:tcPr>
          <w:p w14:paraId="601FBDA7"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5.738.196</w:t>
            </w:r>
          </w:p>
        </w:tc>
      </w:tr>
      <w:tr w:rsidR="00EA6933" w:rsidRPr="00EA6933" w14:paraId="66696762"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0531C864"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Ukupna imovina</w:t>
            </w:r>
          </w:p>
        </w:tc>
        <w:tc>
          <w:tcPr>
            <w:tcW w:w="1160" w:type="dxa"/>
            <w:tcBorders>
              <w:top w:val="nil"/>
              <w:left w:val="nil"/>
              <w:bottom w:val="single" w:sz="4" w:space="0" w:color="auto"/>
              <w:right w:val="single" w:sz="4" w:space="0" w:color="auto"/>
            </w:tcBorders>
            <w:shd w:val="clear" w:color="auto" w:fill="auto"/>
            <w:noWrap/>
            <w:vAlign w:val="center"/>
            <w:hideMark/>
          </w:tcPr>
          <w:p w14:paraId="61E144D8"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16.204.668</w:t>
            </w:r>
          </w:p>
        </w:tc>
        <w:tc>
          <w:tcPr>
            <w:tcW w:w="1160" w:type="dxa"/>
            <w:tcBorders>
              <w:top w:val="nil"/>
              <w:left w:val="nil"/>
              <w:bottom w:val="single" w:sz="4" w:space="0" w:color="auto"/>
              <w:right w:val="single" w:sz="4" w:space="0" w:color="auto"/>
            </w:tcBorders>
            <w:shd w:val="clear" w:color="auto" w:fill="auto"/>
            <w:noWrap/>
            <w:vAlign w:val="center"/>
            <w:hideMark/>
          </w:tcPr>
          <w:p w14:paraId="1A1B0C3B"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15.753.527</w:t>
            </w:r>
          </w:p>
        </w:tc>
        <w:tc>
          <w:tcPr>
            <w:tcW w:w="1160" w:type="dxa"/>
            <w:tcBorders>
              <w:top w:val="nil"/>
              <w:left w:val="nil"/>
              <w:bottom w:val="single" w:sz="4" w:space="0" w:color="auto"/>
              <w:right w:val="single" w:sz="4" w:space="0" w:color="auto"/>
            </w:tcBorders>
            <w:shd w:val="clear" w:color="auto" w:fill="auto"/>
            <w:noWrap/>
            <w:vAlign w:val="center"/>
            <w:hideMark/>
          </w:tcPr>
          <w:p w14:paraId="1AB0ED48"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15.383.233</w:t>
            </w:r>
          </w:p>
        </w:tc>
        <w:tc>
          <w:tcPr>
            <w:tcW w:w="1160" w:type="dxa"/>
            <w:tcBorders>
              <w:top w:val="nil"/>
              <w:left w:val="nil"/>
              <w:bottom w:val="single" w:sz="4" w:space="0" w:color="auto"/>
              <w:right w:val="single" w:sz="4" w:space="0" w:color="auto"/>
            </w:tcBorders>
            <w:shd w:val="clear" w:color="auto" w:fill="auto"/>
            <w:noWrap/>
            <w:vAlign w:val="center"/>
            <w:hideMark/>
          </w:tcPr>
          <w:p w14:paraId="108B9F54"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sz w:val="16"/>
                <w:szCs w:val="16"/>
              </w:rPr>
              <w:t>12.105.596</w:t>
            </w:r>
          </w:p>
        </w:tc>
        <w:tc>
          <w:tcPr>
            <w:tcW w:w="1160" w:type="dxa"/>
            <w:tcBorders>
              <w:top w:val="nil"/>
              <w:left w:val="nil"/>
              <w:bottom w:val="single" w:sz="4" w:space="0" w:color="auto"/>
              <w:right w:val="single" w:sz="4" w:space="0" w:color="auto"/>
            </w:tcBorders>
            <w:shd w:val="clear" w:color="000000" w:fill="FFFFFF"/>
            <w:vAlign w:val="center"/>
            <w:hideMark/>
          </w:tcPr>
          <w:p w14:paraId="576C0785"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color w:val="000000"/>
                <w:sz w:val="16"/>
                <w:szCs w:val="16"/>
              </w:rPr>
              <w:t>14.643.891</w:t>
            </w:r>
          </w:p>
        </w:tc>
      </w:tr>
      <w:tr w:rsidR="00EA6933" w:rsidRPr="00EA6933" w14:paraId="6E66904B"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D9D9D9"/>
            <w:vAlign w:val="center"/>
            <w:hideMark/>
          </w:tcPr>
          <w:p w14:paraId="74B01448"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KVF</w:t>
            </w:r>
          </w:p>
        </w:tc>
        <w:tc>
          <w:tcPr>
            <w:tcW w:w="1160" w:type="dxa"/>
            <w:tcBorders>
              <w:top w:val="nil"/>
              <w:left w:val="nil"/>
              <w:bottom w:val="single" w:sz="4" w:space="0" w:color="auto"/>
              <w:right w:val="single" w:sz="4" w:space="0" w:color="auto"/>
            </w:tcBorders>
            <w:shd w:val="clear" w:color="000000" w:fill="D9D9D9"/>
            <w:vAlign w:val="center"/>
            <w:hideMark/>
          </w:tcPr>
          <w:p w14:paraId="22070DC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0,42</w:t>
            </w:r>
          </w:p>
        </w:tc>
        <w:tc>
          <w:tcPr>
            <w:tcW w:w="1160" w:type="dxa"/>
            <w:tcBorders>
              <w:top w:val="nil"/>
              <w:left w:val="nil"/>
              <w:bottom w:val="single" w:sz="4" w:space="0" w:color="auto"/>
              <w:right w:val="single" w:sz="4" w:space="0" w:color="auto"/>
            </w:tcBorders>
            <w:shd w:val="clear" w:color="000000" w:fill="D9D9D9"/>
            <w:vAlign w:val="center"/>
            <w:hideMark/>
          </w:tcPr>
          <w:p w14:paraId="03A7B235"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0,41</w:t>
            </w:r>
          </w:p>
        </w:tc>
        <w:tc>
          <w:tcPr>
            <w:tcW w:w="1160" w:type="dxa"/>
            <w:tcBorders>
              <w:top w:val="nil"/>
              <w:left w:val="nil"/>
              <w:bottom w:val="single" w:sz="4" w:space="0" w:color="auto"/>
              <w:right w:val="single" w:sz="4" w:space="0" w:color="auto"/>
            </w:tcBorders>
            <w:shd w:val="clear" w:color="000000" w:fill="D9D9D9"/>
            <w:vAlign w:val="center"/>
            <w:hideMark/>
          </w:tcPr>
          <w:p w14:paraId="536C4FD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0,41</w:t>
            </w:r>
          </w:p>
        </w:tc>
        <w:tc>
          <w:tcPr>
            <w:tcW w:w="1160" w:type="dxa"/>
            <w:tcBorders>
              <w:top w:val="nil"/>
              <w:left w:val="nil"/>
              <w:bottom w:val="single" w:sz="4" w:space="0" w:color="auto"/>
              <w:right w:val="single" w:sz="4" w:space="0" w:color="auto"/>
            </w:tcBorders>
            <w:shd w:val="clear" w:color="000000" w:fill="D9D9D9"/>
            <w:vAlign w:val="center"/>
            <w:hideMark/>
          </w:tcPr>
          <w:p w14:paraId="7D404BA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0,47</w:t>
            </w:r>
          </w:p>
        </w:tc>
        <w:tc>
          <w:tcPr>
            <w:tcW w:w="1160" w:type="dxa"/>
            <w:tcBorders>
              <w:top w:val="nil"/>
              <w:left w:val="nil"/>
              <w:bottom w:val="single" w:sz="4" w:space="0" w:color="auto"/>
              <w:right w:val="single" w:sz="4" w:space="0" w:color="auto"/>
            </w:tcBorders>
            <w:shd w:val="clear" w:color="000000" w:fill="D9D9D9"/>
            <w:vAlign w:val="center"/>
            <w:hideMark/>
          </w:tcPr>
          <w:p w14:paraId="26A3A10F"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0,40</w:t>
            </w:r>
          </w:p>
        </w:tc>
      </w:tr>
    </w:tbl>
    <w:p w14:paraId="6FBA70E6" w14:textId="77777777" w:rsidR="00EA6933" w:rsidRPr="00EA6933" w:rsidRDefault="00EA6933" w:rsidP="00EA6933">
      <w:pPr>
        <w:numPr>
          <w:ilvl w:val="0"/>
          <w:numId w:val="13"/>
        </w:numPr>
        <w:spacing w:after="0" w:line="360" w:lineRule="auto"/>
        <w:ind w:left="0" w:firstLine="0"/>
        <w:jc w:val="both"/>
        <w:rPr>
          <w:rFonts w:ascii="Arial" w:eastAsia="Times New Roman" w:hAnsi="Arial" w:cs="Arial"/>
          <w:sz w:val="16"/>
          <w:szCs w:val="16"/>
          <w:lang w:eastAsia="hr-HR"/>
        </w:rPr>
      </w:pPr>
    </w:p>
    <w:p w14:paraId="5E8A17DF"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Vrijednost koeficijenta vlastitog financiranja u pravilu bi trebala biti veća od 50%, što znači da je u tom slučaju veći dio imovine financiran iz vlastitih sredstava. Zbroj koeficijenta zaduženosti i koeficijenta vlastitog financiranja mora biti 1, iz razloga što oni zajedno prikazuju strukturu financiranja imovine. </w:t>
      </w:r>
    </w:p>
    <w:p w14:paraId="72C2AAA3"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 xml:space="preserve">U 2024. godini vrijednost KVF je </w:t>
      </w:r>
      <w:r w:rsidRPr="00EA6933">
        <w:rPr>
          <w:rFonts w:ascii="Arial" w:eastAsia="Times New Roman" w:hAnsi="Arial" w:cs="Arial"/>
          <w:b/>
          <w:bCs/>
          <w:sz w:val="24"/>
          <w:szCs w:val="24"/>
          <w:lang w:eastAsia="hr-HR"/>
        </w:rPr>
        <w:t>40%</w:t>
      </w:r>
      <w:r w:rsidRPr="00EA6933">
        <w:rPr>
          <w:rFonts w:ascii="Arial" w:eastAsia="Times New Roman" w:hAnsi="Arial" w:cs="Arial"/>
          <w:sz w:val="24"/>
          <w:szCs w:val="24"/>
          <w:lang w:eastAsia="hr-HR"/>
        </w:rPr>
        <w:t>.</w:t>
      </w:r>
    </w:p>
    <w:p w14:paraId="31192D3F" w14:textId="77777777" w:rsidR="00EA6933" w:rsidRPr="00EA6933" w:rsidRDefault="00EA6933" w:rsidP="00EA6933">
      <w:pPr>
        <w:numPr>
          <w:ilvl w:val="2"/>
          <w:numId w:val="8"/>
        </w:numPr>
        <w:spacing w:before="240" w:after="120" w:line="276" w:lineRule="auto"/>
        <w:ind w:left="709" w:hanging="709"/>
        <w:jc w:val="both"/>
        <w:rPr>
          <w:rFonts w:ascii="Arial" w:eastAsia="Times New Roman" w:hAnsi="Arial" w:cs="Arial"/>
          <w:b/>
          <w:bCs/>
          <w:sz w:val="24"/>
          <w:szCs w:val="24"/>
          <w:lang w:eastAsia="hr-HR"/>
        </w:rPr>
      </w:pPr>
      <w:bookmarkStart w:id="12" w:name="_Toc48648777"/>
      <w:bookmarkStart w:id="13" w:name="_Toc100056945"/>
      <w:r w:rsidRPr="00EA6933">
        <w:rPr>
          <w:rFonts w:ascii="Arial" w:eastAsia="Times New Roman" w:hAnsi="Arial" w:cs="Arial"/>
          <w:b/>
          <w:bCs/>
          <w:sz w:val="24"/>
          <w:szCs w:val="24"/>
          <w:lang w:eastAsia="hr-HR"/>
        </w:rPr>
        <w:t>P</w:t>
      </w:r>
      <w:bookmarkEnd w:id="12"/>
      <w:bookmarkEnd w:id="13"/>
      <w:r w:rsidRPr="00EA6933">
        <w:rPr>
          <w:rFonts w:ascii="Arial" w:eastAsia="Times New Roman" w:hAnsi="Arial" w:cs="Arial"/>
          <w:b/>
          <w:bCs/>
          <w:sz w:val="24"/>
          <w:szCs w:val="24"/>
          <w:lang w:eastAsia="hr-HR"/>
        </w:rPr>
        <w:t xml:space="preserve">okazatelj ekonomičnosti </w:t>
      </w:r>
    </w:p>
    <w:p w14:paraId="2DE99172" w14:textId="77777777" w:rsidR="00EA6933" w:rsidRPr="00EA6933" w:rsidRDefault="00EA6933" w:rsidP="00EA6933">
      <w:pPr>
        <w:tabs>
          <w:tab w:val="left" w:pos="993"/>
        </w:tabs>
        <w:spacing w:after="0" w:line="276" w:lineRule="auto"/>
        <w:ind w:left="360" w:hanging="360"/>
        <w:jc w:val="both"/>
        <w:rPr>
          <w:rFonts w:ascii="Arial" w:eastAsia="Times New Roman" w:hAnsi="Arial" w:cs="Arial"/>
          <w:b/>
          <w:sz w:val="20"/>
          <w:szCs w:val="20"/>
          <w:lang w:eastAsia="hr-HR"/>
        </w:rPr>
      </w:pPr>
      <w:r w:rsidRPr="00EA6933">
        <w:rPr>
          <w:rFonts w:ascii="Arial" w:eastAsia="Times New Roman" w:hAnsi="Arial" w:cs="Arial"/>
          <w:b/>
          <w:sz w:val="20"/>
          <w:szCs w:val="20"/>
          <w:lang w:eastAsia="hr-HR"/>
        </w:rPr>
        <w:t>Tablica 9. Prikaz pokazatelja ekonomičnosti</w:t>
      </w:r>
    </w:p>
    <w:tbl>
      <w:tblPr>
        <w:tblW w:w="9448" w:type="dxa"/>
        <w:tblInd w:w="-10" w:type="dxa"/>
        <w:tblLook w:val="04A0" w:firstRow="1" w:lastRow="0" w:firstColumn="1" w:lastColumn="0" w:noHBand="0" w:noVBand="1"/>
      </w:tblPr>
      <w:tblGrid>
        <w:gridCol w:w="3648"/>
        <w:gridCol w:w="1160"/>
        <w:gridCol w:w="1160"/>
        <w:gridCol w:w="1160"/>
        <w:gridCol w:w="1160"/>
        <w:gridCol w:w="1160"/>
      </w:tblGrid>
      <w:tr w:rsidR="00EA6933" w:rsidRPr="00EA6933" w14:paraId="5A5107CB" w14:textId="77777777" w:rsidTr="007356C2">
        <w:trPr>
          <w:trHeight w:hRule="exact" w:val="284"/>
        </w:trPr>
        <w:tc>
          <w:tcPr>
            <w:tcW w:w="3648" w:type="dxa"/>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747D87CB"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OPIS</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0ECF7E98"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color w:val="000000"/>
                <w:sz w:val="16"/>
                <w:szCs w:val="16"/>
              </w:rPr>
              <w:t>2020.</w:t>
            </w:r>
          </w:p>
        </w:tc>
        <w:tc>
          <w:tcPr>
            <w:tcW w:w="1160" w:type="dxa"/>
            <w:tcBorders>
              <w:top w:val="single" w:sz="4" w:space="0" w:color="auto"/>
              <w:left w:val="nil"/>
              <w:bottom w:val="single" w:sz="4" w:space="0" w:color="auto"/>
              <w:right w:val="single" w:sz="4" w:space="0" w:color="auto"/>
            </w:tcBorders>
            <w:shd w:val="clear" w:color="000000" w:fill="A6A6A6"/>
            <w:vAlign w:val="center"/>
            <w:hideMark/>
          </w:tcPr>
          <w:p w14:paraId="49384CD5" w14:textId="77777777" w:rsidR="00EA6933" w:rsidRPr="00EA6933" w:rsidRDefault="00EA6933" w:rsidP="00EA6933">
            <w:pPr>
              <w:spacing w:line="312" w:lineRule="auto"/>
              <w:jc w:val="center"/>
              <w:rPr>
                <w:rFonts w:ascii="Arial" w:eastAsia="Times New Roman" w:hAnsi="Arial" w:cs="Arial"/>
                <w:b/>
                <w:bCs/>
                <w:color w:val="000000"/>
                <w:sz w:val="16"/>
                <w:szCs w:val="16"/>
              </w:rPr>
            </w:pPr>
            <w:r w:rsidRPr="00EA6933">
              <w:rPr>
                <w:rFonts w:ascii="Arial" w:eastAsia="Times New Roman" w:hAnsi="Arial" w:cs="Arial"/>
                <w:b/>
                <w:bCs/>
                <w:sz w:val="16"/>
                <w:szCs w:val="16"/>
              </w:rPr>
              <w:t>2021.</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0FE86963"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2022.</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621FC4EB"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2023.</w:t>
            </w:r>
          </w:p>
        </w:tc>
        <w:tc>
          <w:tcPr>
            <w:tcW w:w="1160" w:type="dxa"/>
            <w:tcBorders>
              <w:top w:val="single" w:sz="4" w:space="0" w:color="auto"/>
              <w:left w:val="nil"/>
              <w:bottom w:val="single" w:sz="4" w:space="0" w:color="auto"/>
              <w:right w:val="single" w:sz="4" w:space="0" w:color="auto"/>
            </w:tcBorders>
            <w:shd w:val="clear" w:color="000000" w:fill="A6A6A6"/>
            <w:noWrap/>
            <w:vAlign w:val="center"/>
            <w:hideMark/>
          </w:tcPr>
          <w:p w14:paraId="77D24FEC"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2024.</w:t>
            </w:r>
          </w:p>
        </w:tc>
      </w:tr>
      <w:tr w:rsidR="00EA6933" w:rsidRPr="00EA6933" w14:paraId="662A84A8"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71A4E8B6"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Ukupni prihodi</w:t>
            </w:r>
          </w:p>
        </w:tc>
        <w:tc>
          <w:tcPr>
            <w:tcW w:w="1160" w:type="dxa"/>
            <w:tcBorders>
              <w:top w:val="nil"/>
              <w:left w:val="nil"/>
              <w:bottom w:val="single" w:sz="4" w:space="0" w:color="auto"/>
              <w:right w:val="single" w:sz="4" w:space="0" w:color="auto"/>
            </w:tcBorders>
            <w:shd w:val="clear" w:color="auto" w:fill="auto"/>
            <w:noWrap/>
            <w:vAlign w:val="center"/>
            <w:hideMark/>
          </w:tcPr>
          <w:p w14:paraId="5E807285"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8.536.557</w:t>
            </w:r>
          </w:p>
        </w:tc>
        <w:tc>
          <w:tcPr>
            <w:tcW w:w="1160" w:type="dxa"/>
            <w:tcBorders>
              <w:top w:val="nil"/>
              <w:left w:val="nil"/>
              <w:bottom w:val="single" w:sz="4" w:space="0" w:color="auto"/>
              <w:right w:val="single" w:sz="4" w:space="0" w:color="auto"/>
            </w:tcBorders>
            <w:shd w:val="clear" w:color="auto" w:fill="auto"/>
            <w:noWrap/>
            <w:vAlign w:val="center"/>
            <w:hideMark/>
          </w:tcPr>
          <w:p w14:paraId="00B64172"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8.004.286</w:t>
            </w:r>
          </w:p>
        </w:tc>
        <w:tc>
          <w:tcPr>
            <w:tcW w:w="1160" w:type="dxa"/>
            <w:tcBorders>
              <w:top w:val="nil"/>
              <w:left w:val="nil"/>
              <w:bottom w:val="single" w:sz="4" w:space="0" w:color="auto"/>
              <w:right w:val="single" w:sz="4" w:space="0" w:color="auto"/>
            </w:tcBorders>
            <w:shd w:val="clear" w:color="auto" w:fill="auto"/>
            <w:noWrap/>
            <w:vAlign w:val="center"/>
            <w:hideMark/>
          </w:tcPr>
          <w:p w14:paraId="6AF95FD1"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9.650.231</w:t>
            </w:r>
          </w:p>
        </w:tc>
        <w:tc>
          <w:tcPr>
            <w:tcW w:w="1160" w:type="dxa"/>
            <w:tcBorders>
              <w:top w:val="nil"/>
              <w:left w:val="nil"/>
              <w:bottom w:val="single" w:sz="4" w:space="0" w:color="auto"/>
              <w:right w:val="single" w:sz="4" w:space="0" w:color="auto"/>
            </w:tcBorders>
            <w:shd w:val="clear" w:color="auto" w:fill="auto"/>
            <w:noWrap/>
            <w:vAlign w:val="center"/>
            <w:hideMark/>
          </w:tcPr>
          <w:p w14:paraId="7BDDD7F9"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sz w:val="16"/>
                <w:szCs w:val="16"/>
              </w:rPr>
              <w:t>12.880.949</w:t>
            </w:r>
          </w:p>
        </w:tc>
        <w:tc>
          <w:tcPr>
            <w:tcW w:w="1160" w:type="dxa"/>
            <w:tcBorders>
              <w:top w:val="nil"/>
              <w:left w:val="nil"/>
              <w:bottom w:val="single" w:sz="4" w:space="0" w:color="auto"/>
              <w:right w:val="single" w:sz="4" w:space="0" w:color="auto"/>
            </w:tcBorders>
            <w:shd w:val="clear" w:color="000000" w:fill="FFFFFF"/>
            <w:vAlign w:val="center"/>
            <w:hideMark/>
          </w:tcPr>
          <w:p w14:paraId="08B36B5D"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16.395.777</w:t>
            </w:r>
          </w:p>
        </w:tc>
      </w:tr>
      <w:tr w:rsidR="00EA6933" w:rsidRPr="00EA6933" w14:paraId="065B9156"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FFFFFF"/>
            <w:vAlign w:val="center"/>
            <w:hideMark/>
          </w:tcPr>
          <w:p w14:paraId="083011E1" w14:textId="77777777" w:rsidR="00EA6933" w:rsidRPr="00EA6933" w:rsidRDefault="00EA6933" w:rsidP="00EA6933">
            <w:pPr>
              <w:spacing w:line="312" w:lineRule="auto"/>
              <w:jc w:val="center"/>
              <w:rPr>
                <w:rFonts w:ascii="Arial" w:eastAsia="Times New Roman" w:hAnsi="Arial" w:cs="Arial"/>
                <w:sz w:val="16"/>
                <w:szCs w:val="16"/>
              </w:rPr>
            </w:pPr>
            <w:r w:rsidRPr="00EA6933">
              <w:rPr>
                <w:rFonts w:ascii="Arial" w:eastAsia="Times New Roman" w:hAnsi="Arial" w:cs="Arial"/>
                <w:sz w:val="16"/>
                <w:szCs w:val="16"/>
              </w:rPr>
              <w:t>Ukupni rashodi</w:t>
            </w:r>
          </w:p>
        </w:tc>
        <w:tc>
          <w:tcPr>
            <w:tcW w:w="1160" w:type="dxa"/>
            <w:tcBorders>
              <w:top w:val="nil"/>
              <w:left w:val="nil"/>
              <w:bottom w:val="single" w:sz="4" w:space="0" w:color="auto"/>
              <w:right w:val="single" w:sz="4" w:space="0" w:color="auto"/>
            </w:tcBorders>
            <w:shd w:val="clear" w:color="auto" w:fill="auto"/>
            <w:noWrap/>
            <w:vAlign w:val="center"/>
            <w:hideMark/>
          </w:tcPr>
          <w:p w14:paraId="372A86FB"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8.993.335</w:t>
            </w:r>
          </w:p>
        </w:tc>
        <w:tc>
          <w:tcPr>
            <w:tcW w:w="1160" w:type="dxa"/>
            <w:tcBorders>
              <w:top w:val="nil"/>
              <w:left w:val="nil"/>
              <w:bottom w:val="single" w:sz="4" w:space="0" w:color="auto"/>
              <w:right w:val="single" w:sz="4" w:space="0" w:color="auto"/>
            </w:tcBorders>
            <w:shd w:val="clear" w:color="auto" w:fill="auto"/>
            <w:noWrap/>
            <w:vAlign w:val="center"/>
            <w:hideMark/>
          </w:tcPr>
          <w:p w14:paraId="75892565"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8.344.183</w:t>
            </w:r>
          </w:p>
        </w:tc>
        <w:tc>
          <w:tcPr>
            <w:tcW w:w="1160" w:type="dxa"/>
            <w:tcBorders>
              <w:top w:val="nil"/>
              <w:left w:val="nil"/>
              <w:bottom w:val="single" w:sz="4" w:space="0" w:color="auto"/>
              <w:right w:val="single" w:sz="4" w:space="0" w:color="auto"/>
            </w:tcBorders>
            <w:shd w:val="clear" w:color="auto" w:fill="auto"/>
            <w:noWrap/>
            <w:vAlign w:val="center"/>
            <w:hideMark/>
          </w:tcPr>
          <w:p w14:paraId="296C8835"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9.783.140</w:t>
            </w:r>
          </w:p>
        </w:tc>
        <w:tc>
          <w:tcPr>
            <w:tcW w:w="1160" w:type="dxa"/>
            <w:tcBorders>
              <w:top w:val="nil"/>
              <w:left w:val="nil"/>
              <w:bottom w:val="single" w:sz="4" w:space="0" w:color="auto"/>
              <w:right w:val="single" w:sz="4" w:space="0" w:color="auto"/>
            </w:tcBorders>
            <w:shd w:val="clear" w:color="auto" w:fill="auto"/>
            <w:noWrap/>
            <w:vAlign w:val="center"/>
            <w:hideMark/>
          </w:tcPr>
          <w:p w14:paraId="43B21E1D"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12.875.513</w:t>
            </w:r>
          </w:p>
        </w:tc>
        <w:tc>
          <w:tcPr>
            <w:tcW w:w="1160" w:type="dxa"/>
            <w:tcBorders>
              <w:top w:val="nil"/>
              <w:left w:val="nil"/>
              <w:bottom w:val="single" w:sz="4" w:space="0" w:color="auto"/>
              <w:right w:val="single" w:sz="4" w:space="0" w:color="auto"/>
            </w:tcBorders>
            <w:shd w:val="clear" w:color="auto" w:fill="auto"/>
            <w:noWrap/>
            <w:vAlign w:val="center"/>
            <w:hideMark/>
          </w:tcPr>
          <w:p w14:paraId="233A159B" w14:textId="77777777" w:rsidR="00EA6933" w:rsidRPr="00EA6933" w:rsidRDefault="00EA6933" w:rsidP="00EA6933">
            <w:pPr>
              <w:spacing w:line="312" w:lineRule="auto"/>
              <w:jc w:val="center"/>
              <w:rPr>
                <w:rFonts w:ascii="Arial" w:eastAsia="Times New Roman" w:hAnsi="Arial" w:cs="Arial"/>
                <w:color w:val="000000"/>
                <w:sz w:val="16"/>
                <w:szCs w:val="16"/>
              </w:rPr>
            </w:pPr>
            <w:r w:rsidRPr="00EA6933">
              <w:rPr>
                <w:rFonts w:ascii="Arial" w:eastAsia="Times New Roman" w:hAnsi="Arial" w:cs="Arial"/>
                <w:color w:val="000000"/>
                <w:sz w:val="16"/>
                <w:szCs w:val="16"/>
              </w:rPr>
              <w:t>16.346.210</w:t>
            </w:r>
          </w:p>
        </w:tc>
      </w:tr>
      <w:tr w:rsidR="00EA6933" w:rsidRPr="00EA6933" w14:paraId="5232E27D" w14:textId="77777777" w:rsidTr="007356C2">
        <w:trPr>
          <w:trHeight w:hRule="exact" w:val="284"/>
        </w:trPr>
        <w:tc>
          <w:tcPr>
            <w:tcW w:w="3648" w:type="dxa"/>
            <w:tcBorders>
              <w:top w:val="nil"/>
              <w:left w:val="single" w:sz="4" w:space="0" w:color="auto"/>
              <w:bottom w:val="single" w:sz="4" w:space="0" w:color="auto"/>
              <w:right w:val="single" w:sz="4" w:space="0" w:color="auto"/>
            </w:tcBorders>
            <w:shd w:val="clear" w:color="000000" w:fill="D9D9D9"/>
            <w:vAlign w:val="center"/>
            <w:hideMark/>
          </w:tcPr>
          <w:p w14:paraId="01E3424C"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EUP</w:t>
            </w:r>
          </w:p>
        </w:tc>
        <w:tc>
          <w:tcPr>
            <w:tcW w:w="1160" w:type="dxa"/>
            <w:tcBorders>
              <w:top w:val="nil"/>
              <w:left w:val="nil"/>
              <w:bottom w:val="single" w:sz="4" w:space="0" w:color="auto"/>
              <w:right w:val="single" w:sz="4" w:space="0" w:color="auto"/>
            </w:tcBorders>
            <w:shd w:val="clear" w:color="000000" w:fill="D9D9D9"/>
            <w:vAlign w:val="center"/>
            <w:hideMark/>
          </w:tcPr>
          <w:p w14:paraId="06731DFA"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0,95</w:t>
            </w:r>
          </w:p>
        </w:tc>
        <w:tc>
          <w:tcPr>
            <w:tcW w:w="1160" w:type="dxa"/>
            <w:tcBorders>
              <w:top w:val="nil"/>
              <w:left w:val="nil"/>
              <w:bottom w:val="single" w:sz="4" w:space="0" w:color="auto"/>
              <w:right w:val="single" w:sz="4" w:space="0" w:color="auto"/>
            </w:tcBorders>
            <w:shd w:val="clear" w:color="000000" w:fill="D9D9D9"/>
            <w:vAlign w:val="center"/>
            <w:hideMark/>
          </w:tcPr>
          <w:p w14:paraId="0951B46D"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0,96</w:t>
            </w:r>
          </w:p>
        </w:tc>
        <w:tc>
          <w:tcPr>
            <w:tcW w:w="1160" w:type="dxa"/>
            <w:tcBorders>
              <w:top w:val="nil"/>
              <w:left w:val="nil"/>
              <w:bottom w:val="single" w:sz="4" w:space="0" w:color="auto"/>
              <w:right w:val="single" w:sz="4" w:space="0" w:color="auto"/>
            </w:tcBorders>
            <w:shd w:val="clear" w:color="000000" w:fill="D9D9D9"/>
            <w:vAlign w:val="center"/>
            <w:hideMark/>
          </w:tcPr>
          <w:p w14:paraId="1E837156"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0,99</w:t>
            </w:r>
          </w:p>
        </w:tc>
        <w:tc>
          <w:tcPr>
            <w:tcW w:w="1160" w:type="dxa"/>
            <w:tcBorders>
              <w:top w:val="nil"/>
              <w:left w:val="nil"/>
              <w:bottom w:val="single" w:sz="4" w:space="0" w:color="auto"/>
              <w:right w:val="single" w:sz="4" w:space="0" w:color="auto"/>
            </w:tcBorders>
            <w:shd w:val="clear" w:color="000000" w:fill="D9D9D9"/>
            <w:vAlign w:val="center"/>
            <w:hideMark/>
          </w:tcPr>
          <w:p w14:paraId="339FC038"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1,00</w:t>
            </w:r>
          </w:p>
        </w:tc>
        <w:tc>
          <w:tcPr>
            <w:tcW w:w="1160" w:type="dxa"/>
            <w:tcBorders>
              <w:top w:val="nil"/>
              <w:left w:val="nil"/>
              <w:bottom w:val="single" w:sz="4" w:space="0" w:color="auto"/>
              <w:right w:val="single" w:sz="4" w:space="0" w:color="auto"/>
            </w:tcBorders>
            <w:shd w:val="clear" w:color="000000" w:fill="D9D9D9"/>
            <w:vAlign w:val="center"/>
            <w:hideMark/>
          </w:tcPr>
          <w:p w14:paraId="129DFE56" w14:textId="77777777" w:rsidR="00EA6933" w:rsidRPr="00EA6933" w:rsidRDefault="00EA6933" w:rsidP="00EA6933">
            <w:pPr>
              <w:spacing w:line="312" w:lineRule="auto"/>
              <w:jc w:val="center"/>
              <w:rPr>
                <w:rFonts w:ascii="Arial" w:eastAsia="Times New Roman" w:hAnsi="Arial" w:cs="Arial"/>
                <w:b/>
                <w:bCs/>
                <w:sz w:val="16"/>
                <w:szCs w:val="16"/>
              </w:rPr>
            </w:pPr>
            <w:r w:rsidRPr="00EA6933">
              <w:rPr>
                <w:rFonts w:ascii="Arial" w:eastAsia="Times New Roman" w:hAnsi="Arial" w:cs="Arial"/>
                <w:b/>
                <w:bCs/>
                <w:sz w:val="16"/>
                <w:szCs w:val="16"/>
              </w:rPr>
              <w:t>1,00</w:t>
            </w:r>
          </w:p>
        </w:tc>
      </w:tr>
    </w:tbl>
    <w:p w14:paraId="0527A690" w14:textId="77777777" w:rsidR="00EA6933" w:rsidRPr="00EA6933" w:rsidRDefault="00EA6933" w:rsidP="00EA6933">
      <w:pPr>
        <w:numPr>
          <w:ilvl w:val="0"/>
          <w:numId w:val="13"/>
        </w:numPr>
        <w:spacing w:after="0" w:line="360" w:lineRule="auto"/>
        <w:ind w:left="0" w:firstLine="0"/>
        <w:jc w:val="both"/>
        <w:rPr>
          <w:rFonts w:ascii="Arial" w:eastAsia="Times New Roman" w:hAnsi="Arial" w:cs="Arial"/>
          <w:sz w:val="16"/>
          <w:szCs w:val="16"/>
          <w:lang w:eastAsia="hr-HR"/>
        </w:rPr>
      </w:pPr>
    </w:p>
    <w:p w14:paraId="5D2D8AEC" w14:textId="77777777" w:rsidR="00EA6933" w:rsidRPr="00EA6933" w:rsidRDefault="00EA6933" w:rsidP="00EA6933">
      <w:pPr>
        <w:numPr>
          <w:ilvl w:val="0"/>
          <w:numId w:val="13"/>
        </w:numPr>
        <w:spacing w:after="120" w:line="360" w:lineRule="auto"/>
        <w:ind w:left="0" w:firstLine="0"/>
        <w:jc w:val="both"/>
        <w:rPr>
          <w:rFonts w:ascii="Arial" w:eastAsia="Times New Roman" w:hAnsi="Arial" w:cs="Arial"/>
          <w:sz w:val="24"/>
          <w:szCs w:val="24"/>
          <w:lang w:eastAsia="hr-HR"/>
        </w:rPr>
      </w:pPr>
      <w:r w:rsidRPr="00EA6933">
        <w:rPr>
          <w:rFonts w:ascii="Arial" w:eastAsia="Times New Roman" w:hAnsi="Arial" w:cs="Arial"/>
          <w:sz w:val="24"/>
          <w:szCs w:val="24"/>
          <w:lang w:eastAsia="hr-HR"/>
        </w:rPr>
        <w:t>Pokazatelj ekonomičnosti ukupnog poslovanja stavlja u odnos prihode i rashode te pokazuje koliko se prihoda ostvari po jedinici rashoda. Ukoliko je vrijednost pokazatelja manja od 1, to znači da poduzeće posluje s gubitkom. Društvo je u razdoblju od 1.1. - 31.12.2024. godine ostvarilo više prihoda u odnosu na rashode i poslovalo s dobiti.</w:t>
      </w:r>
    </w:p>
    <w:p w14:paraId="37376ACF" w14:textId="77777777" w:rsidR="00EA6933" w:rsidRPr="00EA6933" w:rsidRDefault="00EA6933" w:rsidP="00EA6933">
      <w:pPr>
        <w:tabs>
          <w:tab w:val="left" w:pos="5387"/>
        </w:tabs>
        <w:spacing w:after="0" w:line="276" w:lineRule="auto"/>
        <w:jc w:val="both"/>
        <w:rPr>
          <w:rFonts w:ascii="Arial" w:eastAsia="Times New Roman" w:hAnsi="Arial" w:cs="Arial"/>
        </w:rPr>
      </w:pPr>
      <w:r w:rsidRPr="00EA6933">
        <w:rPr>
          <w:rFonts w:ascii="Arial" w:eastAsia="Times New Roman" w:hAnsi="Arial" w:cs="Arial"/>
        </w:rPr>
        <w:tab/>
      </w:r>
    </w:p>
    <w:p w14:paraId="537E1C67" w14:textId="0F0F5C25" w:rsidR="00EA6933" w:rsidRPr="00EA6933" w:rsidRDefault="00EA6933" w:rsidP="00EA6933">
      <w:pPr>
        <w:tabs>
          <w:tab w:val="left" w:pos="5387"/>
        </w:tabs>
        <w:spacing w:after="0" w:line="276" w:lineRule="auto"/>
        <w:jc w:val="both"/>
        <w:rPr>
          <w:rFonts w:ascii="Arial" w:eastAsia="Times New Roman" w:hAnsi="Arial" w:cs="Arial"/>
        </w:rPr>
      </w:pPr>
      <w:r w:rsidRPr="00EA6933">
        <w:rPr>
          <w:rFonts w:ascii="Arial" w:eastAsia="Times New Roman" w:hAnsi="Arial" w:cs="Arial"/>
        </w:rPr>
        <w:t>U Samoboru, dana 28.5.2025. godine</w:t>
      </w:r>
    </w:p>
    <w:p w14:paraId="35D76026" w14:textId="77777777" w:rsidR="00EA6933" w:rsidRPr="00EA6933" w:rsidRDefault="00EA6933" w:rsidP="00EA6933">
      <w:pPr>
        <w:tabs>
          <w:tab w:val="left" w:pos="5387"/>
        </w:tabs>
        <w:spacing w:after="0" w:line="276" w:lineRule="auto"/>
        <w:jc w:val="both"/>
        <w:rPr>
          <w:rFonts w:ascii="Arial" w:eastAsia="Times New Roman" w:hAnsi="Arial" w:cs="Arial"/>
        </w:rPr>
      </w:pPr>
    </w:p>
    <w:p w14:paraId="1573992C" w14:textId="77777777" w:rsidR="00EA6933" w:rsidRPr="00EA6933" w:rsidRDefault="00EA6933" w:rsidP="00EA6933">
      <w:pPr>
        <w:tabs>
          <w:tab w:val="left" w:pos="5387"/>
        </w:tabs>
        <w:spacing w:after="0" w:line="276" w:lineRule="auto"/>
        <w:jc w:val="both"/>
        <w:rPr>
          <w:rFonts w:ascii="Arial" w:eastAsia="Times New Roman" w:hAnsi="Arial" w:cs="Arial"/>
        </w:rPr>
      </w:pPr>
    </w:p>
    <w:p w14:paraId="64095054" w14:textId="77777777" w:rsidR="00EA6933" w:rsidRPr="00EA6933" w:rsidRDefault="00EA6933" w:rsidP="00EA6933">
      <w:pPr>
        <w:tabs>
          <w:tab w:val="left" w:pos="5387"/>
        </w:tabs>
        <w:spacing w:after="0" w:line="276" w:lineRule="auto"/>
        <w:jc w:val="both"/>
        <w:rPr>
          <w:rFonts w:ascii="Arial" w:eastAsia="Times New Roman" w:hAnsi="Arial" w:cs="Arial"/>
          <w:b/>
        </w:rPr>
      </w:pPr>
      <w:r w:rsidRPr="00EA6933">
        <w:rPr>
          <w:rFonts w:ascii="Arial" w:eastAsia="Times New Roman" w:hAnsi="Arial" w:cs="Arial"/>
        </w:rPr>
        <w:tab/>
      </w:r>
      <w:r w:rsidRPr="00EA6933">
        <w:rPr>
          <w:rFonts w:ascii="Arial" w:eastAsia="Times New Roman" w:hAnsi="Arial" w:cs="Arial"/>
          <w:b/>
        </w:rPr>
        <w:t>DIREKTOR:</w:t>
      </w:r>
    </w:p>
    <w:p w14:paraId="545B8B25" w14:textId="77777777" w:rsidR="00EA6933" w:rsidRPr="00EA6933" w:rsidRDefault="00EA6933" w:rsidP="00EA6933">
      <w:pPr>
        <w:tabs>
          <w:tab w:val="center" w:pos="6804"/>
        </w:tabs>
        <w:spacing w:after="100" w:afterAutospacing="1" w:line="276" w:lineRule="auto"/>
        <w:jc w:val="both"/>
        <w:rPr>
          <w:rFonts w:ascii="Arial" w:eastAsia="Times New Roman" w:hAnsi="Arial" w:cs="Arial"/>
          <w:b/>
          <w:bCs/>
          <w:sz w:val="20"/>
          <w:szCs w:val="20"/>
        </w:rPr>
      </w:pPr>
      <w:r w:rsidRPr="00EA6933">
        <w:rPr>
          <w:rFonts w:ascii="Arial" w:eastAsia="Times New Roman" w:hAnsi="Arial" w:cs="Arial"/>
          <w:bCs/>
        </w:rPr>
        <w:tab/>
        <w:t xml:space="preserve"> Renato Raguž, dipl. ing. stroj.</w:t>
      </w:r>
    </w:p>
    <w:p w14:paraId="67B27B71" w14:textId="77777777" w:rsidR="004E5ABA" w:rsidRPr="00EA6933" w:rsidRDefault="004E5ABA" w:rsidP="00EA693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00" w:beforeAutospacing="1" w:after="100" w:afterAutospacing="1" w:line="240" w:lineRule="auto"/>
        <w:contextualSpacing/>
        <w:jc w:val="both"/>
        <w:rPr>
          <w:rFonts w:ascii="Arial" w:eastAsia="Times New Roman" w:hAnsi="Arial" w:cs="Arial"/>
          <w:color w:val="FF0000"/>
          <w:lang w:eastAsia="hr-HR"/>
        </w:rPr>
      </w:pPr>
    </w:p>
    <w:sectPr w:rsidR="004E5ABA" w:rsidRPr="00EA6933" w:rsidSect="00EA6933">
      <w:headerReference w:type="default" r:id="rId28"/>
      <w:type w:val="continuous"/>
      <w:pgSz w:w="11906" w:h="16838"/>
      <w:pgMar w:top="1134" w:right="1134" w:bottom="1134"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DCE16" w14:textId="77777777" w:rsidR="001967A5" w:rsidRDefault="001967A5">
      <w:pPr>
        <w:spacing w:after="0" w:line="240" w:lineRule="auto"/>
      </w:pPr>
      <w:r>
        <w:separator/>
      </w:r>
    </w:p>
  </w:endnote>
  <w:endnote w:type="continuationSeparator" w:id="0">
    <w:p w14:paraId="78EF9E48" w14:textId="77777777" w:rsidR="001967A5" w:rsidRDefault="00196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Helvetica">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8CB38" w14:textId="77777777" w:rsidR="001967A5" w:rsidRDefault="001967A5">
      <w:pPr>
        <w:spacing w:after="0" w:line="240" w:lineRule="auto"/>
      </w:pPr>
      <w:r>
        <w:separator/>
      </w:r>
    </w:p>
  </w:footnote>
  <w:footnote w:type="continuationSeparator" w:id="0">
    <w:p w14:paraId="7FD7751E" w14:textId="77777777" w:rsidR="001967A5" w:rsidRDefault="00196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4721" w14:textId="77777777" w:rsidR="00EA6933" w:rsidRDefault="00EA6933" w:rsidP="00EA6933">
    <w:pPr>
      <w:pStyle w:val="Zaglavlje"/>
    </w:pPr>
    <w:r>
      <w:t>KOMUNALAC d.o.o., Samobor</w:t>
    </w:r>
  </w:p>
  <w:p w14:paraId="784FB013" w14:textId="77777777" w:rsidR="00EA6933" w:rsidRDefault="00EA6933" w:rsidP="00EA6933">
    <w:pPr>
      <w:pStyle w:val="Zaglavlje"/>
    </w:pPr>
    <w:r>
      <w:t>Ulica 151. Samoborske brigade HV 2</w:t>
    </w:r>
  </w:p>
  <w:p w14:paraId="2422C91B" w14:textId="0B7337B8" w:rsidR="00EA6933" w:rsidRDefault="00EA6933" w:rsidP="00EA6933">
    <w:pPr>
      <w:pStyle w:val="Zaglavlje"/>
      <w:pBdr>
        <w:bottom w:val="single" w:sz="4" w:space="1" w:color="auto"/>
      </w:pBdr>
      <w:spacing w:after="240"/>
    </w:pPr>
    <w:r>
      <w:t>IZVJEŠTAJ POSLOVODSTVA za 2024. godinu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77C41B60"/>
    <w:name w:val="WW8Num2"/>
    <w:lvl w:ilvl="0">
      <w:start w:val="1"/>
      <w:numFmt w:val="decimal"/>
      <w:lvlText w:val="%1."/>
      <w:lvlJc w:val="left"/>
      <w:pPr>
        <w:ind w:left="4902" w:hanging="705"/>
      </w:pPr>
    </w:lvl>
    <w:lvl w:ilvl="1">
      <w:start w:val="1"/>
      <w:numFmt w:val="lowerLetter"/>
      <w:suff w:val="nothing"/>
      <w:lvlText w:val="%2."/>
      <w:lvlJc w:val="left"/>
      <w:pPr>
        <w:ind w:left="5277" w:hanging="360"/>
      </w:pPr>
    </w:lvl>
    <w:lvl w:ilvl="2">
      <w:start w:val="1"/>
      <w:numFmt w:val="lowerRoman"/>
      <w:suff w:val="nothing"/>
      <w:lvlText w:val="%3."/>
      <w:lvlJc w:val="right"/>
      <w:pPr>
        <w:ind w:left="5997" w:hanging="180"/>
      </w:pPr>
    </w:lvl>
    <w:lvl w:ilvl="3">
      <w:start w:val="1"/>
      <w:numFmt w:val="decimal"/>
      <w:suff w:val="nothing"/>
      <w:lvlText w:val="%4."/>
      <w:lvlJc w:val="left"/>
      <w:pPr>
        <w:ind w:left="360" w:hanging="360"/>
      </w:pPr>
      <w:rPr>
        <w:sz w:val="24"/>
        <w:szCs w:val="24"/>
      </w:rPr>
    </w:lvl>
    <w:lvl w:ilvl="4">
      <w:start w:val="1"/>
      <w:numFmt w:val="lowerLetter"/>
      <w:suff w:val="nothing"/>
      <w:lvlText w:val="%5."/>
      <w:lvlJc w:val="left"/>
      <w:pPr>
        <w:ind w:left="7437" w:hanging="360"/>
      </w:pPr>
    </w:lvl>
    <w:lvl w:ilvl="5">
      <w:start w:val="1"/>
      <w:numFmt w:val="lowerRoman"/>
      <w:suff w:val="nothing"/>
      <w:lvlText w:val="%6."/>
      <w:lvlJc w:val="right"/>
      <w:pPr>
        <w:ind w:left="8157" w:hanging="180"/>
      </w:pPr>
    </w:lvl>
    <w:lvl w:ilvl="6">
      <w:start w:val="1"/>
      <w:numFmt w:val="decimal"/>
      <w:suff w:val="nothing"/>
      <w:lvlText w:val="%7."/>
      <w:lvlJc w:val="left"/>
      <w:pPr>
        <w:ind w:left="8877" w:hanging="360"/>
      </w:pPr>
    </w:lvl>
    <w:lvl w:ilvl="7">
      <w:start w:val="1"/>
      <w:numFmt w:val="lowerLetter"/>
      <w:suff w:val="nothing"/>
      <w:lvlText w:val="%8."/>
      <w:lvlJc w:val="left"/>
      <w:pPr>
        <w:ind w:left="9597" w:hanging="360"/>
      </w:pPr>
    </w:lvl>
    <w:lvl w:ilvl="8">
      <w:start w:val="1"/>
      <w:numFmt w:val="lowerRoman"/>
      <w:suff w:val="nothing"/>
      <w:lvlText w:val="%9."/>
      <w:lvlJc w:val="right"/>
      <w:pPr>
        <w:ind w:left="10317" w:hanging="180"/>
      </w:pPr>
    </w:lvl>
  </w:abstractNum>
  <w:abstractNum w:abstractNumId="1" w15:restartNumberingAfterBreak="0">
    <w:nsid w:val="00795D5C"/>
    <w:multiLevelType w:val="multilevel"/>
    <w:tmpl w:val="C16251CC"/>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DB3634"/>
    <w:multiLevelType w:val="singleLevel"/>
    <w:tmpl w:val="D54C7390"/>
    <w:lvl w:ilvl="0">
      <w:start w:val="1"/>
      <w:numFmt w:val="bullet"/>
      <w:lvlText w:val=""/>
      <w:lvlJc w:val="left"/>
      <w:pPr>
        <w:tabs>
          <w:tab w:val="num" w:pos="283"/>
        </w:tabs>
        <w:ind w:left="283" w:hanging="283"/>
      </w:pPr>
      <w:rPr>
        <w:rFonts w:ascii="Symbol" w:hAnsi="Symbol" w:hint="default"/>
      </w:rPr>
    </w:lvl>
  </w:abstractNum>
  <w:abstractNum w:abstractNumId="3" w15:restartNumberingAfterBreak="0">
    <w:nsid w:val="038B0839"/>
    <w:multiLevelType w:val="multilevel"/>
    <w:tmpl w:val="D4126A2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CC135F"/>
    <w:multiLevelType w:val="multilevel"/>
    <w:tmpl w:val="B9742D08"/>
    <w:lvl w:ilvl="0">
      <w:start w:val="1"/>
      <w:numFmt w:val="decimal"/>
      <w:pStyle w:val="10"/>
      <w:lvlText w:val="%1."/>
      <w:lvlJc w:val="left"/>
      <w:pPr>
        <w:ind w:left="360" w:hanging="360"/>
      </w:pPr>
    </w:lvl>
    <w:lvl w:ilvl="1">
      <w:start w:val="1"/>
      <w:numFmt w:val="decimal"/>
      <w:lvlText w:val="%1.%2."/>
      <w:lvlJc w:val="left"/>
      <w:pPr>
        <w:ind w:left="2417" w:hanging="432"/>
      </w:pPr>
    </w:lvl>
    <w:lvl w:ilvl="2">
      <w:start w:val="1"/>
      <w:numFmt w:val="decimal"/>
      <w:pStyle w:val="111"/>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B048F2"/>
    <w:multiLevelType w:val="multilevel"/>
    <w:tmpl w:val="0D1AED9E"/>
    <w:lvl w:ilvl="0">
      <w:start w:val="1"/>
      <w:numFmt w:val="upperRoman"/>
      <w:lvlText w:val="%1."/>
      <w:lvlJc w:val="left"/>
      <w:rPr>
        <w:rFonts w:ascii="Times New Roman" w:eastAsia="Times New Roman" w:hAnsi="Times New Roman"/>
        <w:b/>
        <w:i/>
        <w:sz w:val="22"/>
        <w:szCs w:val="22"/>
      </w:rPr>
    </w:lvl>
    <w:lvl w:ilvl="1">
      <w:start w:val="1"/>
      <w:numFmt w:val="decimal"/>
      <w:isLgl/>
      <w:lvlText w:val="%1.%2."/>
      <w:lvlJc w:val="left"/>
      <w:pPr>
        <w:ind w:left="360" w:hanging="360"/>
      </w:pPr>
    </w:lvl>
    <w:lvl w:ilvl="2">
      <w:start w:val="1"/>
      <w:numFmt w:val="lowerLetter"/>
      <w:isLgl/>
      <w:lvlText w:val="%1.%2.%3."/>
      <w:lvlJc w:val="left"/>
      <w:pPr>
        <w:ind w:left="720" w:hanging="720"/>
      </w:pPr>
    </w:lvl>
    <w:lvl w:ilvl="3">
      <w:start w:val="1"/>
      <w:numFmt w:val="lowerLetter"/>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 w15:restartNumberingAfterBreak="0">
    <w:nsid w:val="15D36B5E"/>
    <w:multiLevelType w:val="hybridMultilevel"/>
    <w:tmpl w:val="B226078E"/>
    <w:lvl w:ilvl="0" w:tplc="529CA89C">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6EA425A"/>
    <w:multiLevelType w:val="hybridMultilevel"/>
    <w:tmpl w:val="75E2D226"/>
    <w:lvl w:ilvl="0" w:tplc="60A87832">
      <w:start w:val="1"/>
      <w:numFmt w:val="bullet"/>
      <w:lvlText w:val=""/>
      <w:lvlJc w:val="left"/>
      <w:pPr>
        <w:ind w:left="1068" w:hanging="360"/>
      </w:pPr>
      <w:rPr>
        <w:rFonts w:ascii="Symbol" w:hAnsi="Symbol" w:hint="default"/>
        <w:b/>
      </w:rPr>
    </w:lvl>
    <w:lvl w:ilvl="1" w:tplc="041A0003">
      <w:start w:val="1"/>
      <w:numFmt w:val="bullet"/>
      <w:lvlText w:val="o"/>
      <w:lvlJc w:val="left"/>
      <w:pPr>
        <w:ind w:left="1788"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8" w15:restartNumberingAfterBreak="0">
    <w:nsid w:val="182B4C47"/>
    <w:multiLevelType w:val="hybridMultilevel"/>
    <w:tmpl w:val="2624A8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8F3DE2"/>
    <w:multiLevelType w:val="hybridMultilevel"/>
    <w:tmpl w:val="817CD972"/>
    <w:lvl w:ilvl="0" w:tplc="C97E8630">
      <w:start w:val="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pStyle w:val="333"/>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B9841A0"/>
    <w:multiLevelType w:val="multilevel"/>
    <w:tmpl w:val="C27C887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C3024F"/>
    <w:multiLevelType w:val="hybridMultilevel"/>
    <w:tmpl w:val="FFFFFFFF"/>
    <w:lvl w:ilvl="0" w:tplc="041A0001">
      <w:start w:val="1"/>
      <w:numFmt w:val="bullet"/>
      <w:lvlText w:val=""/>
      <w:lvlJc w:val="left"/>
      <w:pPr>
        <w:ind w:left="720" w:hanging="360"/>
      </w:pPr>
      <w:rPr>
        <w:rFonts w:ascii="Symbol" w:hAnsi="Symbol"/>
      </w:rPr>
    </w:lvl>
    <w:lvl w:ilvl="1" w:tplc="041A0003">
      <w:start w:val="1"/>
      <w:numFmt w:val="bullet"/>
      <w:lvlText w:val="o"/>
      <w:lvlJc w:val="left"/>
      <w:pPr>
        <w:ind w:left="1440" w:hanging="360"/>
      </w:pPr>
      <w:rPr>
        <w:rFonts w:ascii="Courier New" w:hAnsi="Courier New"/>
      </w:rPr>
    </w:lvl>
    <w:lvl w:ilvl="2" w:tplc="041A0005">
      <w:start w:val="1"/>
      <w:numFmt w:val="bullet"/>
      <w:lvlText w:val=""/>
      <w:lvlJc w:val="left"/>
      <w:pPr>
        <w:ind w:left="2160" w:hanging="360"/>
      </w:pPr>
      <w:rPr>
        <w:rFonts w:ascii="Wingdings" w:hAnsi="Wingdings"/>
      </w:rPr>
    </w:lvl>
    <w:lvl w:ilvl="3" w:tplc="041A0001">
      <w:start w:val="1"/>
      <w:numFmt w:val="bullet"/>
      <w:lvlText w:val=""/>
      <w:lvlJc w:val="left"/>
      <w:pPr>
        <w:ind w:left="2880" w:hanging="360"/>
      </w:pPr>
      <w:rPr>
        <w:rFonts w:ascii="Symbol" w:hAnsi="Symbol"/>
      </w:rPr>
    </w:lvl>
    <w:lvl w:ilvl="4" w:tplc="041A0003">
      <w:start w:val="1"/>
      <w:numFmt w:val="bullet"/>
      <w:lvlText w:val="o"/>
      <w:lvlJc w:val="left"/>
      <w:pPr>
        <w:ind w:left="3600" w:hanging="360"/>
      </w:pPr>
      <w:rPr>
        <w:rFonts w:ascii="Courier New" w:hAnsi="Courier New"/>
      </w:rPr>
    </w:lvl>
    <w:lvl w:ilvl="5" w:tplc="041A0005">
      <w:start w:val="1"/>
      <w:numFmt w:val="bullet"/>
      <w:lvlText w:val=""/>
      <w:lvlJc w:val="left"/>
      <w:pPr>
        <w:ind w:left="4320" w:hanging="360"/>
      </w:pPr>
      <w:rPr>
        <w:rFonts w:ascii="Wingdings" w:hAnsi="Wingdings"/>
      </w:rPr>
    </w:lvl>
    <w:lvl w:ilvl="6" w:tplc="041A0001">
      <w:start w:val="1"/>
      <w:numFmt w:val="bullet"/>
      <w:lvlText w:val=""/>
      <w:lvlJc w:val="left"/>
      <w:pPr>
        <w:ind w:left="5040" w:hanging="360"/>
      </w:pPr>
      <w:rPr>
        <w:rFonts w:ascii="Symbol" w:hAnsi="Symbol"/>
      </w:rPr>
    </w:lvl>
    <w:lvl w:ilvl="7" w:tplc="041A0003">
      <w:start w:val="1"/>
      <w:numFmt w:val="bullet"/>
      <w:lvlText w:val="o"/>
      <w:lvlJc w:val="left"/>
      <w:pPr>
        <w:ind w:left="5760" w:hanging="360"/>
      </w:pPr>
      <w:rPr>
        <w:rFonts w:ascii="Courier New" w:hAnsi="Courier New"/>
      </w:rPr>
    </w:lvl>
    <w:lvl w:ilvl="8" w:tplc="041A0005">
      <w:start w:val="1"/>
      <w:numFmt w:val="bullet"/>
      <w:lvlText w:val=""/>
      <w:lvlJc w:val="left"/>
      <w:pPr>
        <w:ind w:left="6480" w:hanging="360"/>
      </w:pPr>
      <w:rPr>
        <w:rFonts w:ascii="Wingdings" w:hAnsi="Wingdings"/>
      </w:rPr>
    </w:lvl>
  </w:abstractNum>
  <w:abstractNum w:abstractNumId="12" w15:restartNumberingAfterBreak="0">
    <w:nsid w:val="21D11228"/>
    <w:multiLevelType w:val="multilevel"/>
    <w:tmpl w:val="704A2B00"/>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A72265"/>
    <w:multiLevelType w:val="multilevel"/>
    <w:tmpl w:val="866422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A2F7995"/>
    <w:multiLevelType w:val="hybridMultilevel"/>
    <w:tmpl w:val="5F803CCA"/>
    <w:lvl w:ilvl="0" w:tplc="041A0001">
      <w:start w:val="1"/>
      <w:numFmt w:val="bullet"/>
      <w:lvlText w:val=""/>
      <w:lvlJc w:val="left"/>
      <w:pPr>
        <w:ind w:left="1068" w:hanging="360"/>
      </w:pPr>
      <w:rPr>
        <w:rFonts w:ascii="Symbol" w:hAnsi="Symbol" w:hint="default"/>
        <w:b/>
      </w:rPr>
    </w:lvl>
    <w:lvl w:ilvl="1" w:tplc="FFFFFFFF">
      <w:start w:val="1"/>
      <w:numFmt w:val="bullet"/>
      <w:lvlText w:val="o"/>
      <w:lvlJc w:val="left"/>
      <w:pPr>
        <w:ind w:left="1788"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2B0048A7"/>
    <w:multiLevelType w:val="multilevel"/>
    <w:tmpl w:val="C16251CC"/>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5D3E26"/>
    <w:multiLevelType w:val="hybridMultilevel"/>
    <w:tmpl w:val="2A6E3C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C6563E2"/>
    <w:multiLevelType w:val="hybridMultilevel"/>
    <w:tmpl w:val="57E2FCB6"/>
    <w:lvl w:ilvl="0" w:tplc="3E78D8D0">
      <w:start w:val="1"/>
      <w:numFmt w:val="decimal"/>
      <w:pStyle w:val="2e"/>
      <w:lvlText w:val="Tablica %1."/>
      <w:lvlJc w:val="left"/>
      <w:pPr>
        <w:ind w:left="1287" w:hanging="360"/>
      </w:pPr>
      <w:rPr>
        <w:rFonts w:hint="default"/>
      </w:rPr>
    </w:lvl>
    <w:lvl w:ilvl="1" w:tplc="041A0019">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8" w15:restartNumberingAfterBreak="0">
    <w:nsid w:val="2E9C50D8"/>
    <w:multiLevelType w:val="hybridMultilevel"/>
    <w:tmpl w:val="E404EE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125163C"/>
    <w:multiLevelType w:val="singleLevel"/>
    <w:tmpl w:val="D54C7390"/>
    <w:lvl w:ilvl="0">
      <w:start w:val="1"/>
      <w:numFmt w:val="bullet"/>
      <w:lvlText w:val=""/>
      <w:lvlJc w:val="left"/>
      <w:pPr>
        <w:tabs>
          <w:tab w:val="num" w:pos="283"/>
        </w:tabs>
        <w:ind w:left="283" w:hanging="283"/>
      </w:pPr>
      <w:rPr>
        <w:rFonts w:ascii="Symbol" w:hAnsi="Symbol" w:hint="default"/>
      </w:rPr>
    </w:lvl>
  </w:abstractNum>
  <w:abstractNum w:abstractNumId="20" w15:restartNumberingAfterBreak="0">
    <w:nsid w:val="336C616F"/>
    <w:multiLevelType w:val="hybridMultilevel"/>
    <w:tmpl w:val="4118A5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7E0392"/>
    <w:multiLevelType w:val="hybridMultilevel"/>
    <w:tmpl w:val="5A32C930"/>
    <w:lvl w:ilvl="0" w:tplc="3BAEF85E">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636713F"/>
    <w:multiLevelType w:val="singleLevel"/>
    <w:tmpl w:val="D54C7390"/>
    <w:lvl w:ilvl="0">
      <w:start w:val="1"/>
      <w:numFmt w:val="bullet"/>
      <w:lvlText w:val=""/>
      <w:lvlJc w:val="left"/>
      <w:pPr>
        <w:tabs>
          <w:tab w:val="num" w:pos="283"/>
        </w:tabs>
        <w:ind w:left="283" w:hanging="283"/>
      </w:pPr>
      <w:rPr>
        <w:rFonts w:ascii="Symbol" w:hAnsi="Symbol" w:hint="default"/>
      </w:rPr>
    </w:lvl>
  </w:abstractNum>
  <w:abstractNum w:abstractNumId="23" w15:restartNumberingAfterBreak="0">
    <w:nsid w:val="36F87F87"/>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DE7FA9"/>
    <w:multiLevelType w:val="hybridMultilevel"/>
    <w:tmpl w:val="76A04624"/>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3D413369"/>
    <w:multiLevelType w:val="multilevel"/>
    <w:tmpl w:val="C16251CC"/>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22E2906"/>
    <w:multiLevelType w:val="hybridMultilevel"/>
    <w:tmpl w:val="257A22AC"/>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47681C4A"/>
    <w:multiLevelType w:val="singleLevel"/>
    <w:tmpl w:val="D54C7390"/>
    <w:lvl w:ilvl="0">
      <w:start w:val="1"/>
      <w:numFmt w:val="bullet"/>
      <w:lvlText w:val=""/>
      <w:lvlJc w:val="left"/>
      <w:pPr>
        <w:tabs>
          <w:tab w:val="num" w:pos="283"/>
        </w:tabs>
        <w:ind w:left="283" w:hanging="283"/>
      </w:pPr>
      <w:rPr>
        <w:rFonts w:ascii="Symbol" w:hAnsi="Symbol" w:hint="default"/>
      </w:rPr>
    </w:lvl>
  </w:abstractNum>
  <w:abstractNum w:abstractNumId="28" w15:restartNumberingAfterBreak="0">
    <w:nsid w:val="48603C3A"/>
    <w:multiLevelType w:val="hybridMultilevel"/>
    <w:tmpl w:val="7EF4D0A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9" w15:restartNumberingAfterBreak="0">
    <w:nsid w:val="4E571657"/>
    <w:multiLevelType w:val="hybridMultilevel"/>
    <w:tmpl w:val="44BA0A1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EDD4170"/>
    <w:multiLevelType w:val="multilevel"/>
    <w:tmpl w:val="3AEE289A"/>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B11F70"/>
    <w:multiLevelType w:val="hybridMultilevel"/>
    <w:tmpl w:val="7B0C0AE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2" w15:restartNumberingAfterBreak="0">
    <w:nsid w:val="54BF6724"/>
    <w:multiLevelType w:val="multilevel"/>
    <w:tmpl w:val="55062E6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6A540E"/>
    <w:multiLevelType w:val="hybridMultilevel"/>
    <w:tmpl w:val="C386961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B33739D"/>
    <w:multiLevelType w:val="hybridMultilevel"/>
    <w:tmpl w:val="410E18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E953690"/>
    <w:multiLevelType w:val="hybridMultilevel"/>
    <w:tmpl w:val="ABC2D99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1FB2652"/>
    <w:multiLevelType w:val="hybridMultilevel"/>
    <w:tmpl w:val="BA0876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6064472"/>
    <w:multiLevelType w:val="hybridMultilevel"/>
    <w:tmpl w:val="0B66C1EC"/>
    <w:lvl w:ilvl="0" w:tplc="041A000D">
      <w:start w:val="1"/>
      <w:numFmt w:val="bullet"/>
      <w:lvlText w:val=""/>
      <w:lvlJc w:val="left"/>
      <w:pPr>
        <w:ind w:left="792" w:hanging="360"/>
      </w:pPr>
      <w:rPr>
        <w:rFonts w:ascii="Wingdings" w:hAnsi="Wingdings"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38" w15:restartNumberingAfterBreak="0">
    <w:nsid w:val="6A6F665A"/>
    <w:multiLevelType w:val="hybridMultilevel"/>
    <w:tmpl w:val="B2642E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C80479C"/>
    <w:multiLevelType w:val="hybridMultilevel"/>
    <w:tmpl w:val="E08852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E835AD6"/>
    <w:multiLevelType w:val="hybridMultilevel"/>
    <w:tmpl w:val="408ED4B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CE40709"/>
    <w:multiLevelType w:val="hybridMultilevel"/>
    <w:tmpl w:val="130294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E52671B"/>
    <w:multiLevelType w:val="hybridMultilevel"/>
    <w:tmpl w:val="C1685142"/>
    <w:lvl w:ilvl="0" w:tplc="12B05EA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FE83739"/>
    <w:multiLevelType w:val="hybridMultilevel"/>
    <w:tmpl w:val="73A27E30"/>
    <w:lvl w:ilvl="0" w:tplc="041A0001">
      <w:start w:val="1"/>
      <w:numFmt w:val="bullet"/>
      <w:lvlText w:val=""/>
      <w:lvlJc w:val="left"/>
      <w:pPr>
        <w:ind w:left="1287" w:hanging="360"/>
      </w:pPr>
      <w:rPr>
        <w:rFonts w:ascii="Symbol" w:hAnsi="Symbol" w:hint="default"/>
      </w:rPr>
    </w:lvl>
    <w:lvl w:ilvl="1" w:tplc="041A0003">
      <w:start w:val="1"/>
      <w:numFmt w:val="bullet"/>
      <w:lvlText w:val="o"/>
      <w:lvlJc w:val="left"/>
      <w:pPr>
        <w:ind w:left="2007" w:hanging="360"/>
      </w:pPr>
      <w:rPr>
        <w:rFonts w:ascii="Courier New" w:hAnsi="Courier New" w:cs="Courier New" w:hint="default"/>
      </w:rPr>
    </w:lvl>
    <w:lvl w:ilvl="2" w:tplc="041A0005">
      <w:start w:val="1"/>
      <w:numFmt w:val="bullet"/>
      <w:lvlText w:val=""/>
      <w:lvlJc w:val="left"/>
      <w:pPr>
        <w:ind w:left="2727" w:hanging="360"/>
      </w:pPr>
      <w:rPr>
        <w:rFonts w:ascii="Wingdings" w:hAnsi="Wingdings" w:hint="default"/>
      </w:rPr>
    </w:lvl>
    <w:lvl w:ilvl="3" w:tplc="041A0001">
      <w:start w:val="1"/>
      <w:numFmt w:val="bullet"/>
      <w:lvlText w:val=""/>
      <w:lvlJc w:val="left"/>
      <w:pPr>
        <w:ind w:left="3447" w:hanging="360"/>
      </w:pPr>
      <w:rPr>
        <w:rFonts w:ascii="Symbol" w:hAnsi="Symbol" w:hint="default"/>
      </w:rPr>
    </w:lvl>
    <w:lvl w:ilvl="4" w:tplc="041A0003">
      <w:start w:val="1"/>
      <w:numFmt w:val="bullet"/>
      <w:lvlText w:val="o"/>
      <w:lvlJc w:val="left"/>
      <w:pPr>
        <w:ind w:left="4167" w:hanging="360"/>
      </w:pPr>
      <w:rPr>
        <w:rFonts w:ascii="Courier New" w:hAnsi="Courier New" w:cs="Courier New" w:hint="default"/>
      </w:rPr>
    </w:lvl>
    <w:lvl w:ilvl="5" w:tplc="041A0005">
      <w:start w:val="1"/>
      <w:numFmt w:val="bullet"/>
      <w:lvlText w:val=""/>
      <w:lvlJc w:val="left"/>
      <w:pPr>
        <w:ind w:left="4887" w:hanging="360"/>
      </w:pPr>
      <w:rPr>
        <w:rFonts w:ascii="Wingdings" w:hAnsi="Wingdings" w:hint="default"/>
      </w:rPr>
    </w:lvl>
    <w:lvl w:ilvl="6" w:tplc="041A0001">
      <w:start w:val="1"/>
      <w:numFmt w:val="bullet"/>
      <w:lvlText w:val=""/>
      <w:lvlJc w:val="left"/>
      <w:pPr>
        <w:ind w:left="5607" w:hanging="360"/>
      </w:pPr>
      <w:rPr>
        <w:rFonts w:ascii="Symbol" w:hAnsi="Symbol" w:hint="default"/>
      </w:rPr>
    </w:lvl>
    <w:lvl w:ilvl="7" w:tplc="041A0003">
      <w:start w:val="1"/>
      <w:numFmt w:val="bullet"/>
      <w:lvlText w:val="o"/>
      <w:lvlJc w:val="left"/>
      <w:pPr>
        <w:ind w:left="6327" w:hanging="360"/>
      </w:pPr>
      <w:rPr>
        <w:rFonts w:ascii="Courier New" w:hAnsi="Courier New" w:cs="Courier New" w:hint="default"/>
      </w:rPr>
    </w:lvl>
    <w:lvl w:ilvl="8" w:tplc="041A0005">
      <w:start w:val="1"/>
      <w:numFmt w:val="bullet"/>
      <w:lvlText w:val=""/>
      <w:lvlJc w:val="left"/>
      <w:pPr>
        <w:ind w:left="7047" w:hanging="360"/>
      </w:pPr>
      <w:rPr>
        <w:rFonts w:ascii="Wingdings" w:hAnsi="Wingdings" w:hint="default"/>
      </w:rPr>
    </w:lvl>
  </w:abstractNum>
  <w:num w:numId="1" w16cid:durableId="662856226">
    <w:abstractNumId w:val="5"/>
  </w:num>
  <w:num w:numId="2" w16cid:durableId="2091778745">
    <w:abstractNumId w:val="11"/>
  </w:num>
  <w:num w:numId="3" w16cid:durableId="483469897">
    <w:abstractNumId w:val="21"/>
  </w:num>
  <w:num w:numId="4" w16cid:durableId="140776751">
    <w:abstractNumId w:val="6"/>
  </w:num>
  <w:num w:numId="5" w16cid:durableId="20320553">
    <w:abstractNumId w:val="15"/>
  </w:num>
  <w:num w:numId="6" w16cid:durableId="2128812368">
    <w:abstractNumId w:val="7"/>
  </w:num>
  <w:num w:numId="7" w16cid:durableId="1291520680">
    <w:abstractNumId w:val="17"/>
  </w:num>
  <w:num w:numId="8" w16cid:durableId="111441159">
    <w:abstractNumId w:val="23"/>
  </w:num>
  <w:num w:numId="9" w16cid:durableId="707486101">
    <w:abstractNumId w:val="4"/>
  </w:num>
  <w:num w:numId="10" w16cid:durableId="1568031230">
    <w:abstractNumId w:val="30"/>
  </w:num>
  <w:num w:numId="11" w16cid:durableId="1752656639">
    <w:abstractNumId w:val="26"/>
  </w:num>
  <w:num w:numId="12" w16cid:durableId="2106529950">
    <w:abstractNumId w:val="16"/>
  </w:num>
  <w:num w:numId="13" w16cid:durableId="607271246">
    <w:abstractNumId w:val="24"/>
  </w:num>
  <w:num w:numId="14" w16cid:durableId="319116005">
    <w:abstractNumId w:val="18"/>
  </w:num>
  <w:num w:numId="15" w16cid:durableId="1939023717">
    <w:abstractNumId w:val="36"/>
  </w:num>
  <w:num w:numId="16" w16cid:durableId="2061979784">
    <w:abstractNumId w:val="41"/>
  </w:num>
  <w:num w:numId="17" w16cid:durableId="1065421126">
    <w:abstractNumId w:val="25"/>
  </w:num>
  <w:num w:numId="18" w16cid:durableId="1800220855">
    <w:abstractNumId w:val="32"/>
  </w:num>
  <w:num w:numId="19" w16cid:durableId="682055275">
    <w:abstractNumId w:val="10"/>
  </w:num>
  <w:num w:numId="20" w16cid:durableId="274483937">
    <w:abstractNumId w:val="12"/>
  </w:num>
  <w:num w:numId="21" w16cid:durableId="1350527518">
    <w:abstractNumId w:val="31"/>
  </w:num>
  <w:num w:numId="22" w16cid:durableId="1213269246">
    <w:abstractNumId w:val="28"/>
  </w:num>
  <w:num w:numId="23" w16cid:durableId="934245062">
    <w:abstractNumId w:val="14"/>
  </w:num>
  <w:num w:numId="24" w16cid:durableId="1931548516">
    <w:abstractNumId w:val="38"/>
  </w:num>
  <w:num w:numId="25" w16cid:durableId="2130126192">
    <w:abstractNumId w:val="8"/>
  </w:num>
  <w:num w:numId="26" w16cid:durableId="530338130">
    <w:abstractNumId w:val="19"/>
  </w:num>
  <w:num w:numId="27" w16cid:durableId="129321385">
    <w:abstractNumId w:val="2"/>
  </w:num>
  <w:num w:numId="28" w16cid:durableId="731463865">
    <w:abstractNumId w:val="27"/>
  </w:num>
  <w:num w:numId="29" w16cid:durableId="694691788">
    <w:abstractNumId w:val="22"/>
  </w:num>
  <w:num w:numId="30" w16cid:durableId="146283927">
    <w:abstractNumId w:val="43"/>
  </w:num>
  <w:num w:numId="31" w16cid:durableId="854542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0133361">
    <w:abstractNumId w:val="9"/>
  </w:num>
  <w:num w:numId="33" w16cid:durableId="15666972">
    <w:abstractNumId w:val="3"/>
  </w:num>
  <w:num w:numId="34" w16cid:durableId="696464873">
    <w:abstractNumId w:val="39"/>
  </w:num>
  <w:num w:numId="35" w16cid:durableId="1164902978">
    <w:abstractNumId w:val="35"/>
  </w:num>
  <w:num w:numId="36" w16cid:durableId="1447698160">
    <w:abstractNumId w:val="42"/>
  </w:num>
  <w:num w:numId="37" w16cid:durableId="603535819">
    <w:abstractNumId w:val="40"/>
  </w:num>
  <w:num w:numId="38" w16cid:durableId="563416730">
    <w:abstractNumId w:val="29"/>
  </w:num>
  <w:num w:numId="39" w16cid:durableId="21238386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19736541">
    <w:abstractNumId w:val="4"/>
    <w:lvlOverride w:ilvl="0">
      <w:startOverride w:val="4"/>
    </w:lvlOverride>
  </w:num>
  <w:num w:numId="41" w16cid:durableId="1876574601">
    <w:abstractNumId w:val="34"/>
  </w:num>
  <w:num w:numId="42" w16cid:durableId="1890997000">
    <w:abstractNumId w:val="20"/>
  </w:num>
  <w:num w:numId="43" w16cid:durableId="1171221210">
    <w:abstractNumId w:val="4"/>
    <w:lvlOverride w:ilvl="0">
      <w:startOverride w:val="4"/>
    </w:lvlOverride>
    <w:lvlOverride w:ilvl="1">
      <w:startOverride w:val="2"/>
    </w:lvlOverride>
  </w:num>
  <w:num w:numId="44" w16cid:durableId="2113896165">
    <w:abstractNumId w:val="33"/>
  </w:num>
  <w:num w:numId="45" w16cid:durableId="1091318766">
    <w:abstractNumId w:val="13"/>
  </w:num>
  <w:num w:numId="46" w16cid:durableId="1191607039">
    <w:abstractNumId w:val="37"/>
  </w:num>
  <w:num w:numId="47" w16cid:durableId="1078208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BA"/>
    <w:rsid w:val="00004D91"/>
    <w:rsid w:val="00052E80"/>
    <w:rsid w:val="0006214E"/>
    <w:rsid w:val="00075251"/>
    <w:rsid w:val="0009272E"/>
    <w:rsid w:val="00094139"/>
    <w:rsid w:val="000A2097"/>
    <w:rsid w:val="000A26CF"/>
    <w:rsid w:val="000B1E9A"/>
    <w:rsid w:val="000C7D7D"/>
    <w:rsid w:val="000D4F62"/>
    <w:rsid w:val="000F57A5"/>
    <w:rsid w:val="000F7B0C"/>
    <w:rsid w:val="001012C4"/>
    <w:rsid w:val="0011054B"/>
    <w:rsid w:val="001967A5"/>
    <w:rsid w:val="001A2C96"/>
    <w:rsid w:val="001C331A"/>
    <w:rsid w:val="00221430"/>
    <w:rsid w:val="0026011C"/>
    <w:rsid w:val="002773D9"/>
    <w:rsid w:val="00280443"/>
    <w:rsid w:val="00291812"/>
    <w:rsid w:val="002961DD"/>
    <w:rsid w:val="00297304"/>
    <w:rsid w:val="002B03EE"/>
    <w:rsid w:val="002D0C35"/>
    <w:rsid w:val="002D1EFD"/>
    <w:rsid w:val="002D2DBA"/>
    <w:rsid w:val="002D33E4"/>
    <w:rsid w:val="002D3E5F"/>
    <w:rsid w:val="002D7336"/>
    <w:rsid w:val="002E1893"/>
    <w:rsid w:val="002F0F6E"/>
    <w:rsid w:val="002F68B0"/>
    <w:rsid w:val="00331480"/>
    <w:rsid w:val="00342F45"/>
    <w:rsid w:val="00342FC5"/>
    <w:rsid w:val="00363BF7"/>
    <w:rsid w:val="00383825"/>
    <w:rsid w:val="00397017"/>
    <w:rsid w:val="003A193B"/>
    <w:rsid w:val="003B0241"/>
    <w:rsid w:val="00403B71"/>
    <w:rsid w:val="00411001"/>
    <w:rsid w:val="00485683"/>
    <w:rsid w:val="00486E5A"/>
    <w:rsid w:val="00496A45"/>
    <w:rsid w:val="004E5ABA"/>
    <w:rsid w:val="004F686A"/>
    <w:rsid w:val="00501BC2"/>
    <w:rsid w:val="00502AC1"/>
    <w:rsid w:val="0051618E"/>
    <w:rsid w:val="00536E51"/>
    <w:rsid w:val="00540690"/>
    <w:rsid w:val="00564871"/>
    <w:rsid w:val="005A1DC5"/>
    <w:rsid w:val="005B21D3"/>
    <w:rsid w:val="005D23A7"/>
    <w:rsid w:val="005E5360"/>
    <w:rsid w:val="00612E70"/>
    <w:rsid w:val="00622407"/>
    <w:rsid w:val="00646F14"/>
    <w:rsid w:val="00665BD4"/>
    <w:rsid w:val="006676AC"/>
    <w:rsid w:val="00681857"/>
    <w:rsid w:val="006A2066"/>
    <w:rsid w:val="006A4F34"/>
    <w:rsid w:val="006C17BA"/>
    <w:rsid w:val="006F7C49"/>
    <w:rsid w:val="0070488F"/>
    <w:rsid w:val="00735679"/>
    <w:rsid w:val="007356C2"/>
    <w:rsid w:val="00795406"/>
    <w:rsid w:val="00796288"/>
    <w:rsid w:val="00796BE2"/>
    <w:rsid w:val="007A736A"/>
    <w:rsid w:val="007C5916"/>
    <w:rsid w:val="007C68D4"/>
    <w:rsid w:val="007F0285"/>
    <w:rsid w:val="00813436"/>
    <w:rsid w:val="00813F73"/>
    <w:rsid w:val="00830950"/>
    <w:rsid w:val="00851889"/>
    <w:rsid w:val="008675D9"/>
    <w:rsid w:val="00871029"/>
    <w:rsid w:val="00877FB9"/>
    <w:rsid w:val="008A1AFF"/>
    <w:rsid w:val="008A3DB3"/>
    <w:rsid w:val="008C1B04"/>
    <w:rsid w:val="008C46D2"/>
    <w:rsid w:val="008F78CC"/>
    <w:rsid w:val="00911C09"/>
    <w:rsid w:val="009C0C9A"/>
    <w:rsid w:val="009D1A37"/>
    <w:rsid w:val="009D6DBA"/>
    <w:rsid w:val="009E3AB0"/>
    <w:rsid w:val="009E3CB6"/>
    <w:rsid w:val="009F5FD6"/>
    <w:rsid w:val="00A13C5E"/>
    <w:rsid w:val="00A147AA"/>
    <w:rsid w:val="00A44DAD"/>
    <w:rsid w:val="00A46497"/>
    <w:rsid w:val="00A46B23"/>
    <w:rsid w:val="00A568F1"/>
    <w:rsid w:val="00A644DA"/>
    <w:rsid w:val="00A6661A"/>
    <w:rsid w:val="00A86055"/>
    <w:rsid w:val="00AB4D8F"/>
    <w:rsid w:val="00AB664C"/>
    <w:rsid w:val="00AC6917"/>
    <w:rsid w:val="00AD4CA3"/>
    <w:rsid w:val="00AE344C"/>
    <w:rsid w:val="00B20D19"/>
    <w:rsid w:val="00B30C73"/>
    <w:rsid w:val="00B3497B"/>
    <w:rsid w:val="00B526C8"/>
    <w:rsid w:val="00B65B34"/>
    <w:rsid w:val="00B703A5"/>
    <w:rsid w:val="00B76668"/>
    <w:rsid w:val="00B86494"/>
    <w:rsid w:val="00B90546"/>
    <w:rsid w:val="00BA18A5"/>
    <w:rsid w:val="00BC62C0"/>
    <w:rsid w:val="00BC709F"/>
    <w:rsid w:val="00BE14BA"/>
    <w:rsid w:val="00BE3A36"/>
    <w:rsid w:val="00BF0DA9"/>
    <w:rsid w:val="00BF35FE"/>
    <w:rsid w:val="00C100D0"/>
    <w:rsid w:val="00C12EF0"/>
    <w:rsid w:val="00C17BDF"/>
    <w:rsid w:val="00C25B68"/>
    <w:rsid w:val="00C3481E"/>
    <w:rsid w:val="00C40539"/>
    <w:rsid w:val="00C73B4F"/>
    <w:rsid w:val="00D06693"/>
    <w:rsid w:val="00D12321"/>
    <w:rsid w:val="00D43192"/>
    <w:rsid w:val="00D44DB4"/>
    <w:rsid w:val="00D80868"/>
    <w:rsid w:val="00DE0167"/>
    <w:rsid w:val="00E2035F"/>
    <w:rsid w:val="00E34428"/>
    <w:rsid w:val="00E54D76"/>
    <w:rsid w:val="00E65CE3"/>
    <w:rsid w:val="00E91C12"/>
    <w:rsid w:val="00EA6933"/>
    <w:rsid w:val="00ED0921"/>
    <w:rsid w:val="00ED7321"/>
    <w:rsid w:val="00EE4BA3"/>
    <w:rsid w:val="00F05836"/>
    <w:rsid w:val="00F43AD8"/>
    <w:rsid w:val="00F56DD5"/>
    <w:rsid w:val="00F8330C"/>
    <w:rsid w:val="00FC190A"/>
    <w:rsid w:val="00FF1C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AE16B"/>
  <w15:chartTrackingRefBased/>
  <w15:docId w15:val="{343D00E6-1E64-4971-A6A3-29B52F70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18E"/>
  </w:style>
  <w:style w:type="paragraph" w:styleId="Naslov1">
    <w:name w:val="heading 1"/>
    <w:basedOn w:val="Normal"/>
    <w:next w:val="Normal"/>
    <w:link w:val="Naslov1Char"/>
    <w:uiPriority w:val="9"/>
    <w:qFormat/>
    <w:rsid w:val="004E5A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nhideWhenUsed/>
    <w:qFormat/>
    <w:rsid w:val="004E5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nhideWhenUsed/>
    <w:qFormat/>
    <w:rsid w:val="004E5ABA"/>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nhideWhenUsed/>
    <w:qFormat/>
    <w:rsid w:val="004E5ABA"/>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unhideWhenUsed/>
    <w:qFormat/>
    <w:rsid w:val="004E5ABA"/>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unhideWhenUsed/>
    <w:qFormat/>
    <w:rsid w:val="004E5AB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unhideWhenUsed/>
    <w:qFormat/>
    <w:rsid w:val="004E5AB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unhideWhenUsed/>
    <w:qFormat/>
    <w:rsid w:val="004E5AB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unhideWhenUsed/>
    <w:qFormat/>
    <w:rsid w:val="004E5AB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E5ABA"/>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rsid w:val="004E5ABA"/>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rsid w:val="004E5ABA"/>
    <w:rPr>
      <w:rFonts w:eastAsiaTheme="majorEastAsia" w:cstheme="majorBidi"/>
      <w:color w:val="2F5496" w:themeColor="accent1" w:themeShade="BF"/>
      <w:sz w:val="28"/>
      <w:szCs w:val="28"/>
    </w:rPr>
  </w:style>
  <w:style w:type="character" w:customStyle="1" w:styleId="Naslov4Char">
    <w:name w:val="Naslov 4 Char"/>
    <w:basedOn w:val="Zadanifontodlomka"/>
    <w:link w:val="Naslov4"/>
    <w:rsid w:val="004E5ABA"/>
    <w:rPr>
      <w:rFonts w:eastAsiaTheme="majorEastAsia" w:cstheme="majorBidi"/>
      <w:i/>
      <w:iCs/>
      <w:color w:val="2F5496" w:themeColor="accent1" w:themeShade="BF"/>
    </w:rPr>
  </w:style>
  <w:style w:type="character" w:customStyle="1" w:styleId="Naslov5Char">
    <w:name w:val="Naslov 5 Char"/>
    <w:basedOn w:val="Zadanifontodlomka"/>
    <w:link w:val="Naslov5"/>
    <w:uiPriority w:val="9"/>
    <w:rsid w:val="004E5ABA"/>
    <w:rPr>
      <w:rFonts w:eastAsiaTheme="majorEastAsia" w:cstheme="majorBidi"/>
      <w:color w:val="2F5496" w:themeColor="accent1" w:themeShade="BF"/>
    </w:rPr>
  </w:style>
  <w:style w:type="character" w:customStyle="1" w:styleId="Naslov6Char">
    <w:name w:val="Naslov 6 Char"/>
    <w:basedOn w:val="Zadanifontodlomka"/>
    <w:link w:val="Naslov6"/>
    <w:uiPriority w:val="9"/>
    <w:rsid w:val="004E5ABA"/>
    <w:rPr>
      <w:rFonts w:eastAsiaTheme="majorEastAsia" w:cstheme="majorBidi"/>
      <w:i/>
      <w:iCs/>
      <w:color w:val="595959" w:themeColor="text1" w:themeTint="A6"/>
    </w:rPr>
  </w:style>
  <w:style w:type="character" w:customStyle="1" w:styleId="Naslov7Char">
    <w:name w:val="Naslov 7 Char"/>
    <w:basedOn w:val="Zadanifontodlomka"/>
    <w:link w:val="Naslov7"/>
    <w:uiPriority w:val="9"/>
    <w:rsid w:val="004E5ABA"/>
    <w:rPr>
      <w:rFonts w:eastAsiaTheme="majorEastAsia" w:cstheme="majorBidi"/>
      <w:color w:val="595959" w:themeColor="text1" w:themeTint="A6"/>
    </w:rPr>
  </w:style>
  <w:style w:type="character" w:customStyle="1" w:styleId="Naslov8Char">
    <w:name w:val="Naslov 8 Char"/>
    <w:basedOn w:val="Zadanifontodlomka"/>
    <w:link w:val="Naslov8"/>
    <w:uiPriority w:val="9"/>
    <w:rsid w:val="004E5ABA"/>
    <w:rPr>
      <w:rFonts w:eastAsiaTheme="majorEastAsia" w:cstheme="majorBidi"/>
      <w:i/>
      <w:iCs/>
      <w:color w:val="272727" w:themeColor="text1" w:themeTint="D8"/>
    </w:rPr>
  </w:style>
  <w:style w:type="character" w:customStyle="1" w:styleId="Naslov9Char">
    <w:name w:val="Naslov 9 Char"/>
    <w:basedOn w:val="Zadanifontodlomka"/>
    <w:link w:val="Naslov9"/>
    <w:uiPriority w:val="9"/>
    <w:rsid w:val="004E5ABA"/>
    <w:rPr>
      <w:rFonts w:eastAsiaTheme="majorEastAsia" w:cstheme="majorBidi"/>
      <w:color w:val="272727" w:themeColor="text1" w:themeTint="D8"/>
    </w:rPr>
  </w:style>
  <w:style w:type="paragraph" w:styleId="Naslov">
    <w:name w:val="Title"/>
    <w:basedOn w:val="Normal"/>
    <w:next w:val="Normal"/>
    <w:link w:val="NaslovChar"/>
    <w:uiPriority w:val="10"/>
    <w:qFormat/>
    <w:rsid w:val="004E5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E5AB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qFormat/>
    <w:rsid w:val="004E5AB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rsid w:val="004E5AB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E5ABA"/>
    <w:pPr>
      <w:spacing w:before="160"/>
      <w:jc w:val="center"/>
    </w:pPr>
    <w:rPr>
      <w:i/>
      <w:iCs/>
      <w:color w:val="404040" w:themeColor="text1" w:themeTint="BF"/>
    </w:rPr>
  </w:style>
  <w:style w:type="character" w:customStyle="1" w:styleId="CitatChar">
    <w:name w:val="Citat Char"/>
    <w:basedOn w:val="Zadanifontodlomka"/>
    <w:link w:val="Citat"/>
    <w:uiPriority w:val="29"/>
    <w:rsid w:val="004E5ABA"/>
    <w:rPr>
      <w:i/>
      <w:iCs/>
      <w:color w:val="404040" w:themeColor="text1" w:themeTint="BF"/>
    </w:rPr>
  </w:style>
  <w:style w:type="paragraph" w:styleId="Odlomakpopisa">
    <w:name w:val="List Paragraph"/>
    <w:basedOn w:val="Normal"/>
    <w:uiPriority w:val="34"/>
    <w:qFormat/>
    <w:rsid w:val="004E5ABA"/>
    <w:pPr>
      <w:ind w:left="720"/>
      <w:contextualSpacing/>
    </w:pPr>
  </w:style>
  <w:style w:type="character" w:styleId="Jakoisticanje">
    <w:name w:val="Intense Emphasis"/>
    <w:basedOn w:val="Zadanifontodlomka"/>
    <w:uiPriority w:val="21"/>
    <w:qFormat/>
    <w:rsid w:val="004E5ABA"/>
    <w:rPr>
      <w:i/>
      <w:iCs/>
      <w:color w:val="2F5496" w:themeColor="accent1" w:themeShade="BF"/>
    </w:rPr>
  </w:style>
  <w:style w:type="paragraph" w:styleId="Naglaencitat">
    <w:name w:val="Intense Quote"/>
    <w:basedOn w:val="Normal"/>
    <w:next w:val="Normal"/>
    <w:link w:val="NaglaencitatChar"/>
    <w:uiPriority w:val="30"/>
    <w:qFormat/>
    <w:rsid w:val="004E5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4E5ABA"/>
    <w:rPr>
      <w:i/>
      <w:iCs/>
      <w:color w:val="2F5496" w:themeColor="accent1" w:themeShade="BF"/>
    </w:rPr>
  </w:style>
  <w:style w:type="character" w:styleId="Istaknutareferenca">
    <w:name w:val="Intense Reference"/>
    <w:basedOn w:val="Zadanifontodlomka"/>
    <w:uiPriority w:val="32"/>
    <w:qFormat/>
    <w:rsid w:val="004E5ABA"/>
    <w:rPr>
      <w:b/>
      <w:bCs/>
      <w:smallCaps/>
      <w:color w:val="2F5496" w:themeColor="accent1" w:themeShade="BF"/>
      <w:spacing w:val="5"/>
    </w:rPr>
  </w:style>
  <w:style w:type="paragraph" w:styleId="Podnoje">
    <w:name w:val="footer"/>
    <w:basedOn w:val="Normal"/>
    <w:link w:val="PodnojeChar"/>
    <w:uiPriority w:val="99"/>
    <w:rsid w:val="004E5ABA"/>
    <w:pPr>
      <w:tabs>
        <w:tab w:val="center" w:pos="4536"/>
        <w:tab w:val="right" w:pos="9072"/>
      </w:tabs>
      <w:autoSpaceDE w:val="0"/>
      <w:autoSpaceDN w:val="0"/>
      <w:adjustRightInd w:val="0"/>
      <w:spacing w:after="0" w:line="240" w:lineRule="auto"/>
    </w:pPr>
    <w:rPr>
      <w:rFonts w:ascii="Times New Roman" w:eastAsia="Times New Roman" w:hAnsi="Times New Roman" w:cs="Calibri"/>
      <w:sz w:val="24"/>
      <w:szCs w:val="24"/>
      <w:lang w:eastAsia="hr-HR"/>
    </w:rPr>
  </w:style>
  <w:style w:type="character" w:customStyle="1" w:styleId="PodnojeChar">
    <w:name w:val="Podnožje Char"/>
    <w:basedOn w:val="Zadanifontodlomka"/>
    <w:link w:val="Podnoje"/>
    <w:uiPriority w:val="99"/>
    <w:rsid w:val="004E5ABA"/>
    <w:rPr>
      <w:rFonts w:ascii="Times New Roman" w:eastAsia="Times New Roman" w:hAnsi="Times New Roman" w:cs="Calibri"/>
      <w:sz w:val="24"/>
      <w:szCs w:val="24"/>
      <w:lang w:eastAsia="hr-HR"/>
    </w:rPr>
  </w:style>
  <w:style w:type="character" w:styleId="Brojretka">
    <w:name w:val="line number"/>
    <w:basedOn w:val="Zadanifontodlomka"/>
    <w:uiPriority w:val="99"/>
    <w:rsid w:val="004E5ABA"/>
    <w:rPr>
      <w:rFonts w:ascii="Arial" w:hAnsi="Times New Roman" w:cs="Times New Roman"/>
    </w:rPr>
  </w:style>
  <w:style w:type="character" w:styleId="Hiperveza">
    <w:name w:val="Hyperlink"/>
    <w:basedOn w:val="Zadanifontodlomka"/>
    <w:uiPriority w:val="99"/>
    <w:qFormat/>
    <w:rsid w:val="004E5ABA"/>
    <w:rPr>
      <w:rFonts w:ascii="Arial" w:hAnsi="Times New Roman"/>
      <w:color w:val="0000FF"/>
      <w:u w:val="single"/>
    </w:rPr>
  </w:style>
  <w:style w:type="table" w:styleId="Jednostavnatablica1">
    <w:name w:val="Table Simple 1"/>
    <w:basedOn w:val="Obinatablica"/>
    <w:uiPriority w:val="99"/>
    <w:rsid w:val="004E5ABA"/>
    <w:pPr>
      <w:autoSpaceDE w:val="0"/>
      <w:autoSpaceDN w:val="0"/>
      <w:adjustRightInd w:val="0"/>
      <w:spacing w:after="0"/>
    </w:pPr>
    <w:rPr>
      <w:rFonts w:ascii="Arial" w:eastAsia="Times New Roman" w:hAnsi="Times New Roman" w:cs="Calibri"/>
      <w:sz w:val="24"/>
      <w:szCs w:val="24"/>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Reetkatablice">
    <w:name w:val="Table Grid"/>
    <w:basedOn w:val="Obinatablica"/>
    <w:uiPriority w:val="99"/>
    <w:rsid w:val="004E5ABA"/>
    <w:pPr>
      <w:autoSpaceDE w:val="0"/>
      <w:autoSpaceDN w:val="0"/>
      <w:adjustRightInd w:val="0"/>
      <w:spacing w:after="0" w:line="240" w:lineRule="auto"/>
    </w:pPr>
    <w:rPr>
      <w:rFonts w:ascii="Arial" w:eastAsia="Times New Roman" w:hAnsi="Times New Roman" w:cs="Times New Roman"/>
      <w:sz w:val="24"/>
      <w:szCs w:val="24"/>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Svijetlareetkatablice">
    <w:name w:val="Grid Table Light"/>
    <w:basedOn w:val="Obinatablica"/>
    <w:uiPriority w:val="40"/>
    <w:rsid w:val="00D808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erencakomentara">
    <w:name w:val="annotation reference"/>
    <w:basedOn w:val="Zadanifontodlomka"/>
    <w:uiPriority w:val="99"/>
    <w:semiHidden/>
    <w:unhideWhenUsed/>
    <w:rsid w:val="008F78CC"/>
    <w:rPr>
      <w:sz w:val="16"/>
      <w:szCs w:val="16"/>
    </w:rPr>
  </w:style>
  <w:style w:type="paragraph" w:styleId="Tekstkomentara">
    <w:name w:val="annotation text"/>
    <w:basedOn w:val="Normal"/>
    <w:link w:val="TekstkomentaraChar"/>
    <w:uiPriority w:val="99"/>
    <w:semiHidden/>
    <w:unhideWhenUsed/>
    <w:rsid w:val="008F78CC"/>
    <w:pPr>
      <w:spacing w:line="240" w:lineRule="auto"/>
    </w:pPr>
    <w:rPr>
      <w:sz w:val="20"/>
      <w:szCs w:val="20"/>
    </w:rPr>
  </w:style>
  <w:style w:type="character" w:customStyle="1" w:styleId="TekstkomentaraChar">
    <w:name w:val="Tekst komentara Char"/>
    <w:basedOn w:val="Zadanifontodlomka"/>
    <w:link w:val="Tekstkomentara"/>
    <w:uiPriority w:val="99"/>
    <w:semiHidden/>
    <w:rsid w:val="008F78CC"/>
    <w:rPr>
      <w:sz w:val="20"/>
      <w:szCs w:val="20"/>
    </w:rPr>
  </w:style>
  <w:style w:type="paragraph" w:styleId="Predmetkomentara">
    <w:name w:val="annotation subject"/>
    <w:basedOn w:val="Tekstkomentara"/>
    <w:next w:val="Tekstkomentara"/>
    <w:link w:val="PredmetkomentaraChar"/>
    <w:uiPriority w:val="99"/>
    <w:semiHidden/>
    <w:unhideWhenUsed/>
    <w:rsid w:val="008F78CC"/>
    <w:rPr>
      <w:b/>
      <w:bCs/>
    </w:rPr>
  </w:style>
  <w:style w:type="character" w:customStyle="1" w:styleId="PredmetkomentaraChar">
    <w:name w:val="Predmet komentara Char"/>
    <w:basedOn w:val="TekstkomentaraChar"/>
    <w:link w:val="Predmetkomentara"/>
    <w:uiPriority w:val="99"/>
    <w:semiHidden/>
    <w:rsid w:val="008F78CC"/>
    <w:rPr>
      <w:b/>
      <w:bCs/>
      <w:sz w:val="20"/>
      <w:szCs w:val="20"/>
    </w:rPr>
  </w:style>
  <w:style w:type="paragraph" w:styleId="Bezproreda">
    <w:name w:val="No Spacing"/>
    <w:aliases w:val="3slova"/>
    <w:link w:val="BezproredaChar"/>
    <w:uiPriority w:val="1"/>
    <w:qFormat/>
    <w:rsid w:val="00851889"/>
    <w:pPr>
      <w:spacing w:after="0" w:line="240" w:lineRule="auto"/>
    </w:pPr>
  </w:style>
  <w:style w:type="paragraph" w:styleId="Zaglavlje">
    <w:name w:val="header"/>
    <w:basedOn w:val="Normal"/>
    <w:link w:val="ZaglavljeChar"/>
    <w:uiPriority w:val="99"/>
    <w:unhideWhenUsed/>
    <w:rsid w:val="00EA693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A6933"/>
  </w:style>
  <w:style w:type="paragraph" w:styleId="Sadraj1">
    <w:name w:val="toc 1"/>
    <w:basedOn w:val="Normal"/>
    <w:next w:val="Normal"/>
    <w:uiPriority w:val="39"/>
    <w:unhideWhenUsed/>
    <w:qFormat/>
    <w:rsid w:val="00EA6933"/>
    <w:pPr>
      <w:tabs>
        <w:tab w:val="right" w:leader="dot" w:pos="9498"/>
      </w:tabs>
      <w:spacing w:after="100" w:line="240" w:lineRule="auto"/>
    </w:pPr>
    <w:rPr>
      <w:rFonts w:ascii="Times New Roman" w:eastAsia="Times New Roman" w:hAnsi="Times New Roman" w:cs="Times New Roman"/>
      <w:b/>
      <w:noProof/>
      <w:color w:val="215868"/>
      <w:sz w:val="24"/>
      <w:szCs w:val="24"/>
      <w:lang w:val="en-US" w:eastAsia="hr-HR"/>
    </w:rPr>
  </w:style>
  <w:style w:type="paragraph" w:styleId="Sadraj2">
    <w:name w:val="toc 2"/>
    <w:basedOn w:val="Normal"/>
    <w:next w:val="Normal"/>
    <w:uiPriority w:val="39"/>
    <w:unhideWhenUsed/>
    <w:qFormat/>
    <w:rsid w:val="00EA6933"/>
    <w:pPr>
      <w:tabs>
        <w:tab w:val="left" w:pos="660"/>
        <w:tab w:val="right" w:leader="dot" w:pos="9498"/>
      </w:tabs>
      <w:spacing w:after="100" w:line="240" w:lineRule="auto"/>
      <w:ind w:left="200"/>
    </w:pPr>
    <w:rPr>
      <w:rFonts w:ascii="Cambria" w:eastAsia="Times New Roman" w:hAnsi="Cambria" w:cs="Times New Roman"/>
      <w:color w:val="215868"/>
      <w:sz w:val="24"/>
      <w:szCs w:val="24"/>
      <w:lang w:eastAsia="hr-HR"/>
    </w:rPr>
  </w:style>
  <w:style w:type="paragraph" w:styleId="Sadraj3">
    <w:name w:val="toc 3"/>
    <w:basedOn w:val="Normal"/>
    <w:next w:val="Normal"/>
    <w:autoRedefine/>
    <w:uiPriority w:val="39"/>
    <w:unhideWhenUsed/>
    <w:qFormat/>
    <w:rsid w:val="00EA6933"/>
    <w:pPr>
      <w:spacing w:after="100" w:line="240" w:lineRule="auto"/>
      <w:ind w:left="400"/>
    </w:pPr>
    <w:rPr>
      <w:rFonts w:ascii="Times New Roman" w:eastAsia="Times New Roman" w:hAnsi="Times New Roman" w:cs="Times New Roman"/>
      <w:sz w:val="24"/>
      <w:szCs w:val="24"/>
      <w:lang w:eastAsia="hr-HR"/>
    </w:rPr>
  </w:style>
  <w:style w:type="paragraph" w:styleId="Opisslike">
    <w:name w:val="caption"/>
    <w:basedOn w:val="Normal"/>
    <w:next w:val="Normal"/>
    <w:uiPriority w:val="35"/>
    <w:unhideWhenUsed/>
    <w:qFormat/>
    <w:rsid w:val="00EA6933"/>
    <w:pPr>
      <w:spacing w:after="0" w:line="240" w:lineRule="auto"/>
    </w:pPr>
    <w:rPr>
      <w:rFonts w:ascii="Times New Roman" w:eastAsia="Times New Roman" w:hAnsi="Times New Roman" w:cs="Times New Roman"/>
      <w:b/>
      <w:bCs/>
      <w:color w:val="943634"/>
      <w:sz w:val="18"/>
      <w:szCs w:val="18"/>
      <w:lang w:eastAsia="hr-HR"/>
    </w:rPr>
  </w:style>
  <w:style w:type="character" w:styleId="Naglaeno">
    <w:name w:val="Strong"/>
    <w:uiPriority w:val="22"/>
    <w:qFormat/>
    <w:rsid w:val="00EA6933"/>
    <w:rPr>
      <w:b/>
      <w:bCs/>
      <w:spacing w:val="0"/>
    </w:rPr>
  </w:style>
  <w:style w:type="character" w:styleId="Istaknuto">
    <w:name w:val="Emphasis"/>
    <w:uiPriority w:val="20"/>
    <w:qFormat/>
    <w:rsid w:val="00EA6933"/>
    <w:rPr>
      <w:rFonts w:ascii="Cambria" w:eastAsia="Times New Roman" w:hAnsi="Cambria" w:cs="Times New Roman"/>
      <w:b/>
      <w:bCs/>
      <w:i/>
      <w:iCs/>
      <w:color w:val="C0504D"/>
      <w:bdr w:val="single" w:sz="18" w:space="0" w:color="F2DBDB"/>
      <w:shd w:val="clear" w:color="auto" w:fill="F2DBDB"/>
    </w:rPr>
  </w:style>
  <w:style w:type="character" w:customStyle="1" w:styleId="BezproredaChar">
    <w:name w:val="Bez proreda Char"/>
    <w:aliases w:val="3slova Char"/>
    <w:link w:val="Bezproreda"/>
    <w:uiPriority w:val="1"/>
    <w:rsid w:val="00EA6933"/>
  </w:style>
  <w:style w:type="character" w:styleId="Neupadljivoisticanje">
    <w:name w:val="Subtle Emphasis"/>
    <w:uiPriority w:val="19"/>
    <w:qFormat/>
    <w:rsid w:val="00EA6933"/>
    <w:rPr>
      <w:rFonts w:ascii="Cambria" w:eastAsia="Times New Roman" w:hAnsi="Cambria" w:cs="Times New Roman"/>
      <w:i/>
      <w:iCs/>
      <w:color w:val="C0504D"/>
    </w:rPr>
  </w:style>
  <w:style w:type="character" w:styleId="Neupadljivareferenca">
    <w:name w:val="Subtle Reference"/>
    <w:uiPriority w:val="31"/>
    <w:qFormat/>
    <w:rsid w:val="00EA6933"/>
    <w:rPr>
      <w:i/>
      <w:iCs/>
      <w:smallCaps/>
      <w:color w:val="C0504D"/>
      <w:u w:color="C0504D"/>
    </w:rPr>
  </w:style>
  <w:style w:type="character" w:styleId="Naslovknjige">
    <w:name w:val="Book Title"/>
    <w:uiPriority w:val="33"/>
    <w:qFormat/>
    <w:rsid w:val="00EA6933"/>
    <w:rPr>
      <w:rFonts w:ascii="Cambria" w:eastAsia="Times New Roman" w:hAnsi="Cambria" w:cs="Times New Roman"/>
      <w:b/>
      <w:bCs/>
      <w:i/>
      <w:iCs/>
      <w:smallCaps/>
      <w:color w:val="943634"/>
      <w:u w:val="single"/>
    </w:rPr>
  </w:style>
  <w:style w:type="paragraph" w:styleId="TOCNaslov">
    <w:name w:val="TOC Heading"/>
    <w:basedOn w:val="Naslov1"/>
    <w:next w:val="Normal"/>
    <w:uiPriority w:val="39"/>
    <w:unhideWhenUsed/>
    <w:qFormat/>
    <w:rsid w:val="00EA6933"/>
    <w:pPr>
      <w:keepNext w:val="0"/>
      <w:keepLines w:val="0"/>
      <w:pBdr>
        <w:top w:val="single" w:sz="48" w:space="0" w:color="C0504D"/>
        <w:bottom w:val="single" w:sz="48" w:space="0" w:color="C0504D"/>
      </w:pBdr>
      <w:shd w:val="clear" w:color="auto" w:fill="C0504D"/>
      <w:spacing w:before="0" w:after="0" w:line="240" w:lineRule="auto"/>
      <w:outlineLvl w:val="9"/>
    </w:pPr>
    <w:rPr>
      <w:rFonts w:ascii="Cambria" w:eastAsia="Times New Roman" w:hAnsi="Cambria" w:cs="Times New Roman"/>
      <w:i/>
      <w:iCs/>
      <w:color w:val="FFFFFF"/>
      <w:spacing w:val="10"/>
      <w:sz w:val="36"/>
      <w:szCs w:val="36"/>
      <w:lang w:eastAsia="x-none"/>
    </w:rPr>
  </w:style>
  <w:style w:type="character" w:customStyle="1" w:styleId="Jakoisticanje1">
    <w:name w:val="Jako isticanje1"/>
    <w:uiPriority w:val="21"/>
    <w:qFormat/>
    <w:rsid w:val="00EA6933"/>
    <w:rPr>
      <w:bdr w:val="single" w:sz="18" w:space="0" w:color="C0504D"/>
      <w:shd w:val="clear" w:color="auto" w:fill="C0504D"/>
    </w:rPr>
  </w:style>
  <w:style w:type="paragraph" w:customStyle="1" w:styleId="Stil1">
    <w:name w:val="Stil1"/>
    <w:basedOn w:val="Normal"/>
    <w:qFormat/>
    <w:rsid w:val="00EA6933"/>
    <w:pPr>
      <w:spacing w:after="0" w:line="240" w:lineRule="auto"/>
      <w:ind w:firstLine="708"/>
      <w:jc w:val="both"/>
    </w:pPr>
    <w:rPr>
      <w:rFonts w:ascii="Times New Roman" w:eastAsia="Times New Roman" w:hAnsi="Times New Roman" w:cs="Times New Roman"/>
      <w:sz w:val="24"/>
      <w:szCs w:val="24"/>
      <w:lang w:eastAsia="hr-HR"/>
    </w:rPr>
  </w:style>
  <w:style w:type="paragraph" w:customStyle="1" w:styleId="Stil2">
    <w:name w:val="Stil2"/>
    <w:basedOn w:val="Naslov4"/>
    <w:qFormat/>
    <w:rsid w:val="00EA6933"/>
    <w:pPr>
      <w:keepLines w:val="0"/>
      <w:pBdr>
        <w:left w:val="single" w:sz="4" w:space="2" w:color="C0504D"/>
        <w:bottom w:val="single" w:sz="4" w:space="0" w:color="C0504D"/>
      </w:pBdr>
      <w:spacing w:before="240" w:after="120" w:line="269" w:lineRule="auto"/>
      <w:ind w:left="1418"/>
      <w:contextualSpacing/>
    </w:pPr>
    <w:rPr>
      <w:rFonts w:ascii="Cambria" w:eastAsia="Times New Roman" w:hAnsi="Cambria" w:cs="Times New Roman"/>
      <w:b/>
      <w:bCs/>
      <w:color w:val="943634"/>
      <w:sz w:val="24"/>
      <w:szCs w:val="24"/>
      <w:lang w:eastAsia="x-none"/>
    </w:rPr>
  </w:style>
  <w:style w:type="paragraph" w:styleId="Tekstbalonia">
    <w:name w:val="Balloon Text"/>
    <w:basedOn w:val="Normal"/>
    <w:link w:val="TekstbaloniaChar"/>
    <w:uiPriority w:val="99"/>
    <w:semiHidden/>
    <w:unhideWhenUsed/>
    <w:rsid w:val="00EA6933"/>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EA6933"/>
    <w:rPr>
      <w:rFonts w:ascii="Tahoma" w:eastAsia="Times New Roman" w:hAnsi="Tahoma" w:cs="Tahoma"/>
      <w:sz w:val="16"/>
      <w:szCs w:val="16"/>
      <w:lang w:eastAsia="hr-HR"/>
    </w:rPr>
  </w:style>
  <w:style w:type="paragraph" w:customStyle="1" w:styleId="2e">
    <w:name w:val="2.e"/>
    <w:basedOn w:val="Normal"/>
    <w:rsid w:val="00EA6933"/>
    <w:pPr>
      <w:numPr>
        <w:numId w:val="7"/>
      </w:numPr>
      <w:spacing w:after="0" w:line="240" w:lineRule="auto"/>
    </w:pPr>
    <w:rPr>
      <w:rFonts w:ascii="Times New Roman" w:eastAsia="Times New Roman" w:hAnsi="Times New Roman" w:cs="Times New Roman"/>
      <w:sz w:val="24"/>
      <w:szCs w:val="24"/>
      <w:lang w:eastAsia="hr-HR"/>
    </w:rPr>
  </w:style>
  <w:style w:type="paragraph" w:customStyle="1" w:styleId="10">
    <w:name w:val="1."/>
    <w:basedOn w:val="Normal"/>
    <w:link w:val="1Char"/>
    <w:qFormat/>
    <w:rsid w:val="00EA6933"/>
    <w:pPr>
      <w:numPr>
        <w:numId w:val="9"/>
      </w:numPr>
      <w:tabs>
        <w:tab w:val="left" w:pos="993"/>
      </w:tabs>
      <w:spacing w:before="240" w:after="240" w:line="276" w:lineRule="auto"/>
      <w:jc w:val="both"/>
    </w:pPr>
    <w:rPr>
      <w:rFonts w:ascii="Arial" w:eastAsia="Times New Roman" w:hAnsi="Arial" w:cs="Arial"/>
      <w:b/>
      <w:sz w:val="24"/>
      <w:szCs w:val="24"/>
      <w:lang w:eastAsia="hr-HR"/>
    </w:rPr>
  </w:style>
  <w:style w:type="paragraph" w:customStyle="1" w:styleId="tekst">
    <w:name w:val="tekst"/>
    <w:basedOn w:val="Normal"/>
    <w:qFormat/>
    <w:rsid w:val="00EA6933"/>
    <w:pPr>
      <w:spacing w:after="120" w:line="276" w:lineRule="auto"/>
      <w:ind w:firstLine="567"/>
      <w:jc w:val="both"/>
    </w:pPr>
    <w:rPr>
      <w:rFonts w:ascii="Arial" w:eastAsia="Times New Roman" w:hAnsi="Arial" w:cs="Arial"/>
      <w:lang w:eastAsia="hr-HR"/>
    </w:rPr>
  </w:style>
  <w:style w:type="paragraph" w:customStyle="1" w:styleId="11">
    <w:name w:val="1.1."/>
    <w:basedOn w:val="Normal"/>
    <w:qFormat/>
    <w:rsid w:val="00EA6933"/>
    <w:pPr>
      <w:spacing w:before="240" w:after="120" w:line="276" w:lineRule="auto"/>
      <w:ind w:left="567" w:hanging="567"/>
      <w:jc w:val="both"/>
    </w:pPr>
    <w:rPr>
      <w:rFonts w:ascii="Arial" w:eastAsia="Times New Roman" w:hAnsi="Arial" w:cs="Arial"/>
      <w:b/>
      <w:bCs/>
      <w:lang w:eastAsia="hr-HR"/>
    </w:rPr>
  </w:style>
  <w:style w:type="paragraph" w:customStyle="1" w:styleId="111">
    <w:name w:val="1.1.1."/>
    <w:basedOn w:val="Normal"/>
    <w:rsid w:val="00EA6933"/>
    <w:pPr>
      <w:numPr>
        <w:ilvl w:val="2"/>
        <w:numId w:val="9"/>
      </w:numPr>
      <w:tabs>
        <w:tab w:val="left" w:pos="1418"/>
      </w:tabs>
      <w:spacing w:before="240" w:after="120" w:line="276" w:lineRule="auto"/>
      <w:ind w:left="1224"/>
      <w:jc w:val="both"/>
    </w:pPr>
    <w:rPr>
      <w:rFonts w:ascii="Arial" w:eastAsia="Times New Roman" w:hAnsi="Arial" w:cs="Arial"/>
      <w:b/>
      <w:bCs/>
      <w:lang w:eastAsia="hr-HR"/>
    </w:rPr>
  </w:style>
  <w:style w:type="character" w:customStyle="1" w:styleId="1Char">
    <w:name w:val="1. Char"/>
    <w:link w:val="10"/>
    <w:rsid w:val="00EA6933"/>
    <w:rPr>
      <w:rFonts w:ascii="Arial" w:eastAsia="Times New Roman" w:hAnsi="Arial" w:cs="Arial"/>
      <w:b/>
      <w:sz w:val="24"/>
      <w:szCs w:val="24"/>
      <w:lang w:eastAsia="hr-HR"/>
    </w:rPr>
  </w:style>
  <w:style w:type="character" w:styleId="Brojstranice">
    <w:name w:val="page number"/>
    <w:rsid w:val="00EA6933"/>
    <w:rPr>
      <w:sz w:val="20"/>
    </w:rPr>
  </w:style>
  <w:style w:type="paragraph" w:styleId="Tijeloteksta">
    <w:name w:val="Body Text"/>
    <w:aliases w:val="1Redni brojevi"/>
    <w:basedOn w:val="Normal"/>
    <w:link w:val="TijelotekstaChar"/>
    <w:uiPriority w:val="99"/>
    <w:qFormat/>
    <w:rsid w:val="00EA6933"/>
    <w:pPr>
      <w:spacing w:after="0" w:line="240" w:lineRule="auto"/>
      <w:jc w:val="both"/>
    </w:pPr>
    <w:rPr>
      <w:rFonts w:ascii="Times New Roman" w:eastAsia="Times New Roman" w:hAnsi="Times New Roman" w:cs="Times New Roman"/>
      <w:bCs/>
      <w:color w:val="000000"/>
      <w:sz w:val="24"/>
      <w:szCs w:val="20"/>
      <w:lang w:val="en-GB"/>
    </w:rPr>
  </w:style>
  <w:style w:type="character" w:customStyle="1" w:styleId="TijelotekstaChar">
    <w:name w:val="Tijelo teksta Char"/>
    <w:aliases w:val="1Redni brojevi Char"/>
    <w:basedOn w:val="Zadanifontodlomka"/>
    <w:link w:val="Tijeloteksta"/>
    <w:uiPriority w:val="99"/>
    <w:rsid w:val="00EA6933"/>
    <w:rPr>
      <w:rFonts w:ascii="Times New Roman" w:eastAsia="Times New Roman" w:hAnsi="Times New Roman" w:cs="Times New Roman"/>
      <w:bCs/>
      <w:color w:val="000000"/>
      <w:sz w:val="24"/>
      <w:szCs w:val="20"/>
      <w:lang w:val="en-GB"/>
    </w:rPr>
  </w:style>
  <w:style w:type="paragraph" w:customStyle="1" w:styleId="T1">
    <w:name w:val="T1"/>
    <w:basedOn w:val="Naslov1"/>
    <w:link w:val="T1Char"/>
    <w:rsid w:val="00EA6933"/>
    <w:pPr>
      <w:keepLines w:val="0"/>
      <w:spacing w:before="0" w:after="301" w:line="301" w:lineRule="atLeast"/>
      <w:ind w:hanging="152"/>
      <w:outlineLvl w:val="9"/>
    </w:pPr>
    <w:rPr>
      <w:rFonts w:ascii="Arial" w:eastAsia="Times New Roman" w:hAnsi="Arial" w:cs="Times New Roman"/>
      <w:color w:val="auto"/>
      <w:sz w:val="19"/>
      <w:szCs w:val="20"/>
      <w:lang w:val="en-GB"/>
    </w:rPr>
  </w:style>
  <w:style w:type="character" w:customStyle="1" w:styleId="T1Char">
    <w:name w:val="T1 Char"/>
    <w:link w:val="T1"/>
    <w:rsid w:val="00EA6933"/>
    <w:rPr>
      <w:rFonts w:ascii="Arial" w:eastAsia="Times New Roman" w:hAnsi="Arial" w:cs="Times New Roman"/>
      <w:sz w:val="19"/>
      <w:szCs w:val="20"/>
      <w:lang w:val="en-GB"/>
    </w:rPr>
  </w:style>
  <w:style w:type="paragraph" w:customStyle="1" w:styleId="text">
    <w:name w:val="text"/>
    <w:basedOn w:val="Normal"/>
    <w:rsid w:val="00EA6933"/>
    <w:pPr>
      <w:spacing w:after="0" w:line="240" w:lineRule="auto"/>
      <w:jc w:val="both"/>
    </w:pPr>
    <w:rPr>
      <w:rFonts w:ascii="HRHelvetica" w:eastAsia="Times New Roman" w:hAnsi="HRHelvetica" w:cs="Times New Roman"/>
      <w:sz w:val="20"/>
      <w:szCs w:val="20"/>
      <w:lang w:val="en-US"/>
    </w:rPr>
  </w:style>
  <w:style w:type="paragraph" w:customStyle="1" w:styleId="in111">
    <w:name w:val="in111"/>
    <w:basedOn w:val="Normal"/>
    <w:rsid w:val="00EA6933"/>
    <w:pPr>
      <w:tabs>
        <w:tab w:val="left" w:pos="567"/>
      </w:tabs>
      <w:spacing w:after="0" w:line="360" w:lineRule="atLeast"/>
      <w:ind w:left="567" w:hanging="567"/>
      <w:jc w:val="both"/>
    </w:pPr>
    <w:rPr>
      <w:rFonts w:ascii="HRHelvetica" w:eastAsia="Times New Roman" w:hAnsi="HRHelvetica" w:cs="Times New Roman"/>
      <w:szCs w:val="20"/>
      <w:lang w:val="en-US"/>
    </w:rPr>
  </w:style>
  <w:style w:type="paragraph" w:styleId="StandardWeb">
    <w:name w:val="Normal (Web)"/>
    <w:basedOn w:val="Normal"/>
    <w:uiPriority w:val="99"/>
    <w:unhideWhenUsed/>
    <w:rsid w:val="00EA6933"/>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EA6933"/>
  </w:style>
  <w:style w:type="paragraph" w:customStyle="1" w:styleId="TableContents">
    <w:name w:val="Table Contents"/>
    <w:basedOn w:val="Tijeloteksta"/>
    <w:rsid w:val="00EA6933"/>
    <w:pPr>
      <w:spacing w:after="160" w:line="312" w:lineRule="auto"/>
      <w:jc w:val="left"/>
    </w:pPr>
    <w:rPr>
      <w:rFonts w:ascii="Calibri" w:hAnsi="Calibri"/>
      <w:bCs w:val="0"/>
      <w:color w:val="auto"/>
      <w:sz w:val="21"/>
      <w:szCs w:val="21"/>
      <w:lang w:val="hr-HR"/>
    </w:rPr>
  </w:style>
  <w:style w:type="paragraph" w:customStyle="1" w:styleId="Tekstfusnote1">
    <w:name w:val="Tekst fusnote1"/>
    <w:basedOn w:val="Normal"/>
    <w:next w:val="Tekstfusnote"/>
    <w:link w:val="TekstfusnoteChar"/>
    <w:uiPriority w:val="99"/>
    <w:semiHidden/>
    <w:unhideWhenUsed/>
    <w:rsid w:val="00EA6933"/>
    <w:pPr>
      <w:spacing w:after="0" w:line="240" w:lineRule="auto"/>
    </w:pPr>
    <w:rPr>
      <w:sz w:val="20"/>
      <w:szCs w:val="20"/>
    </w:rPr>
  </w:style>
  <w:style w:type="character" w:customStyle="1" w:styleId="TekstfusnoteChar">
    <w:name w:val="Tekst fusnote Char"/>
    <w:basedOn w:val="Zadanifontodlomka"/>
    <w:link w:val="Tekstfusnote1"/>
    <w:uiPriority w:val="99"/>
    <w:semiHidden/>
    <w:rsid w:val="00EA6933"/>
    <w:rPr>
      <w:sz w:val="20"/>
      <w:szCs w:val="20"/>
    </w:rPr>
  </w:style>
  <w:style w:type="character" w:styleId="Referencafusnote">
    <w:name w:val="footnote reference"/>
    <w:basedOn w:val="Zadanifontodlomka"/>
    <w:uiPriority w:val="99"/>
    <w:semiHidden/>
    <w:unhideWhenUsed/>
    <w:rsid w:val="00EA6933"/>
    <w:rPr>
      <w:vertAlign w:val="superscript"/>
    </w:rPr>
  </w:style>
  <w:style w:type="paragraph" w:customStyle="1" w:styleId="Uvuenotijeloteksta1">
    <w:name w:val="Uvučeno tijelo teksta1"/>
    <w:basedOn w:val="Normal"/>
    <w:next w:val="Uvuenotijeloteksta"/>
    <w:link w:val="UvuenotijelotekstaChar"/>
    <w:uiPriority w:val="99"/>
    <w:semiHidden/>
    <w:unhideWhenUsed/>
    <w:rsid w:val="00EA6933"/>
    <w:pPr>
      <w:spacing w:line="312" w:lineRule="auto"/>
      <w:ind w:left="283"/>
    </w:pPr>
  </w:style>
  <w:style w:type="character" w:customStyle="1" w:styleId="UvuenotijelotekstaChar">
    <w:name w:val="Uvučeno tijelo teksta Char"/>
    <w:basedOn w:val="Zadanifontodlomka"/>
    <w:link w:val="Uvuenotijeloteksta1"/>
    <w:uiPriority w:val="99"/>
    <w:semiHidden/>
    <w:rsid w:val="00EA6933"/>
  </w:style>
  <w:style w:type="table" w:customStyle="1" w:styleId="Svijetlareetkatablice1">
    <w:name w:val="Svijetla rešetka tablice1"/>
    <w:basedOn w:val="Obinatablica"/>
    <w:next w:val="Svijetlareetkatablice"/>
    <w:uiPriority w:val="40"/>
    <w:rsid w:val="00EA6933"/>
    <w:pPr>
      <w:spacing w:after="0" w:line="240" w:lineRule="auto"/>
    </w:pPr>
    <w:rPr>
      <w:rFonts w:eastAsia="Times New Roman"/>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333">
    <w:name w:val="3.3.3."/>
    <w:basedOn w:val="Normal"/>
    <w:qFormat/>
    <w:rsid w:val="00EA6933"/>
    <w:pPr>
      <w:numPr>
        <w:ilvl w:val="2"/>
        <w:numId w:val="32"/>
      </w:numPr>
      <w:tabs>
        <w:tab w:val="left" w:pos="1418"/>
      </w:tabs>
      <w:spacing w:before="240" w:after="120" w:line="276" w:lineRule="auto"/>
      <w:jc w:val="both"/>
    </w:pPr>
    <w:rPr>
      <w:rFonts w:ascii="Arial" w:eastAsia="Times New Roman" w:hAnsi="Arial" w:cs="Arial"/>
      <w:b/>
      <w:bCs/>
      <w:lang w:eastAsia="hr-HR"/>
    </w:rPr>
  </w:style>
  <w:style w:type="paragraph" w:customStyle="1" w:styleId="2">
    <w:name w:val="2."/>
    <w:basedOn w:val="Normal"/>
    <w:qFormat/>
    <w:rsid w:val="00EA6933"/>
    <w:pPr>
      <w:numPr>
        <w:ilvl w:val="1"/>
        <w:numId w:val="33"/>
      </w:numPr>
      <w:spacing w:before="240" w:after="120" w:line="276" w:lineRule="auto"/>
      <w:ind w:left="567" w:hanging="567"/>
      <w:jc w:val="both"/>
    </w:pPr>
    <w:rPr>
      <w:rFonts w:ascii="Arial" w:eastAsia="Times New Roman" w:hAnsi="Arial" w:cs="Arial"/>
      <w:b/>
      <w:bCs/>
      <w:lang w:eastAsia="hr-HR"/>
    </w:rPr>
  </w:style>
  <w:style w:type="paragraph" w:customStyle="1" w:styleId="3">
    <w:name w:val="3."/>
    <w:basedOn w:val="Normal"/>
    <w:qFormat/>
    <w:rsid w:val="00EA6933"/>
    <w:pPr>
      <w:numPr>
        <w:ilvl w:val="2"/>
        <w:numId w:val="33"/>
      </w:numPr>
      <w:tabs>
        <w:tab w:val="left" w:pos="1560"/>
      </w:tabs>
      <w:spacing w:before="240" w:after="120" w:line="276" w:lineRule="auto"/>
      <w:jc w:val="both"/>
    </w:pPr>
    <w:rPr>
      <w:rFonts w:ascii="Arial" w:eastAsia="Times New Roman" w:hAnsi="Arial" w:cs="Arial"/>
      <w:b/>
      <w:bCs/>
      <w:lang w:eastAsia="hr-HR"/>
    </w:rPr>
  </w:style>
  <w:style w:type="paragraph" w:customStyle="1" w:styleId="1">
    <w:name w:val="1"/>
    <w:basedOn w:val="Normal"/>
    <w:qFormat/>
    <w:rsid w:val="00EA6933"/>
    <w:pPr>
      <w:numPr>
        <w:numId w:val="33"/>
      </w:numPr>
      <w:spacing w:after="200" w:line="276" w:lineRule="auto"/>
      <w:ind w:left="357" w:hanging="357"/>
      <w:jc w:val="both"/>
    </w:pPr>
    <w:rPr>
      <w:rFonts w:ascii="Arial" w:eastAsia="Times New Roman" w:hAnsi="Arial" w:cs="Arial"/>
      <w:b/>
      <w:sz w:val="24"/>
      <w:szCs w:val="24"/>
      <w:lang w:eastAsia="hr-HR"/>
    </w:rPr>
  </w:style>
  <w:style w:type="character" w:styleId="Tekstrezerviranogmjesta">
    <w:name w:val="Placeholder Text"/>
    <w:basedOn w:val="Zadanifontodlomka"/>
    <w:uiPriority w:val="99"/>
    <w:semiHidden/>
    <w:rsid w:val="00EA6933"/>
    <w:rPr>
      <w:color w:val="808080"/>
    </w:rPr>
  </w:style>
  <w:style w:type="numbering" w:customStyle="1" w:styleId="Trenutnipopis1">
    <w:name w:val="Trenutni popis1"/>
    <w:uiPriority w:val="99"/>
    <w:rsid w:val="00EA6933"/>
  </w:style>
  <w:style w:type="paragraph" w:styleId="Tekstfusnote">
    <w:name w:val="footnote text"/>
    <w:basedOn w:val="Normal"/>
    <w:link w:val="TekstfusnoteChar1"/>
    <w:uiPriority w:val="99"/>
    <w:semiHidden/>
    <w:unhideWhenUsed/>
    <w:rsid w:val="00EA6933"/>
    <w:pPr>
      <w:spacing w:after="0" w:line="240" w:lineRule="auto"/>
    </w:pPr>
    <w:rPr>
      <w:sz w:val="20"/>
      <w:szCs w:val="20"/>
    </w:rPr>
  </w:style>
  <w:style w:type="character" w:customStyle="1" w:styleId="TekstfusnoteChar1">
    <w:name w:val="Tekst fusnote Char1"/>
    <w:basedOn w:val="Zadanifontodlomka"/>
    <w:link w:val="Tekstfusnote"/>
    <w:uiPriority w:val="99"/>
    <w:semiHidden/>
    <w:rsid w:val="00EA6933"/>
    <w:rPr>
      <w:sz w:val="20"/>
      <w:szCs w:val="20"/>
    </w:rPr>
  </w:style>
  <w:style w:type="paragraph" w:styleId="Uvuenotijeloteksta">
    <w:name w:val="Body Text Indent"/>
    <w:basedOn w:val="Normal"/>
    <w:link w:val="UvuenotijelotekstaChar1"/>
    <w:uiPriority w:val="99"/>
    <w:semiHidden/>
    <w:unhideWhenUsed/>
    <w:rsid w:val="00EA6933"/>
    <w:pPr>
      <w:spacing w:after="120"/>
      <w:ind w:left="283"/>
    </w:pPr>
  </w:style>
  <w:style w:type="character" w:customStyle="1" w:styleId="UvuenotijelotekstaChar1">
    <w:name w:val="Uvučeno tijelo teksta Char1"/>
    <w:basedOn w:val="Zadanifontodlomka"/>
    <w:link w:val="Uvuenotijeloteksta"/>
    <w:uiPriority w:val="99"/>
    <w:semiHidden/>
    <w:rsid w:val="00EA6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456">
      <w:bodyDiv w:val="1"/>
      <w:marLeft w:val="0"/>
      <w:marRight w:val="0"/>
      <w:marTop w:val="0"/>
      <w:marBottom w:val="0"/>
      <w:divBdr>
        <w:top w:val="none" w:sz="0" w:space="0" w:color="auto"/>
        <w:left w:val="none" w:sz="0" w:space="0" w:color="auto"/>
        <w:bottom w:val="none" w:sz="0" w:space="0" w:color="auto"/>
        <w:right w:val="none" w:sz="0" w:space="0" w:color="auto"/>
      </w:divBdr>
    </w:div>
    <w:div w:id="3555541">
      <w:bodyDiv w:val="1"/>
      <w:marLeft w:val="0"/>
      <w:marRight w:val="0"/>
      <w:marTop w:val="0"/>
      <w:marBottom w:val="0"/>
      <w:divBdr>
        <w:top w:val="none" w:sz="0" w:space="0" w:color="auto"/>
        <w:left w:val="none" w:sz="0" w:space="0" w:color="auto"/>
        <w:bottom w:val="none" w:sz="0" w:space="0" w:color="auto"/>
        <w:right w:val="none" w:sz="0" w:space="0" w:color="auto"/>
      </w:divBdr>
    </w:div>
    <w:div w:id="62460374">
      <w:bodyDiv w:val="1"/>
      <w:marLeft w:val="0"/>
      <w:marRight w:val="0"/>
      <w:marTop w:val="0"/>
      <w:marBottom w:val="0"/>
      <w:divBdr>
        <w:top w:val="none" w:sz="0" w:space="0" w:color="auto"/>
        <w:left w:val="none" w:sz="0" w:space="0" w:color="auto"/>
        <w:bottom w:val="none" w:sz="0" w:space="0" w:color="auto"/>
        <w:right w:val="none" w:sz="0" w:space="0" w:color="auto"/>
      </w:divBdr>
    </w:div>
    <w:div w:id="78866746">
      <w:bodyDiv w:val="1"/>
      <w:marLeft w:val="0"/>
      <w:marRight w:val="0"/>
      <w:marTop w:val="0"/>
      <w:marBottom w:val="0"/>
      <w:divBdr>
        <w:top w:val="none" w:sz="0" w:space="0" w:color="auto"/>
        <w:left w:val="none" w:sz="0" w:space="0" w:color="auto"/>
        <w:bottom w:val="none" w:sz="0" w:space="0" w:color="auto"/>
        <w:right w:val="none" w:sz="0" w:space="0" w:color="auto"/>
      </w:divBdr>
    </w:div>
    <w:div w:id="153878778">
      <w:bodyDiv w:val="1"/>
      <w:marLeft w:val="0"/>
      <w:marRight w:val="0"/>
      <w:marTop w:val="0"/>
      <w:marBottom w:val="0"/>
      <w:divBdr>
        <w:top w:val="none" w:sz="0" w:space="0" w:color="auto"/>
        <w:left w:val="none" w:sz="0" w:space="0" w:color="auto"/>
        <w:bottom w:val="none" w:sz="0" w:space="0" w:color="auto"/>
        <w:right w:val="none" w:sz="0" w:space="0" w:color="auto"/>
      </w:divBdr>
    </w:div>
    <w:div w:id="196968318">
      <w:bodyDiv w:val="1"/>
      <w:marLeft w:val="0"/>
      <w:marRight w:val="0"/>
      <w:marTop w:val="0"/>
      <w:marBottom w:val="0"/>
      <w:divBdr>
        <w:top w:val="none" w:sz="0" w:space="0" w:color="auto"/>
        <w:left w:val="none" w:sz="0" w:space="0" w:color="auto"/>
        <w:bottom w:val="none" w:sz="0" w:space="0" w:color="auto"/>
        <w:right w:val="none" w:sz="0" w:space="0" w:color="auto"/>
      </w:divBdr>
    </w:div>
    <w:div w:id="408964306">
      <w:bodyDiv w:val="1"/>
      <w:marLeft w:val="0"/>
      <w:marRight w:val="0"/>
      <w:marTop w:val="0"/>
      <w:marBottom w:val="0"/>
      <w:divBdr>
        <w:top w:val="none" w:sz="0" w:space="0" w:color="auto"/>
        <w:left w:val="none" w:sz="0" w:space="0" w:color="auto"/>
        <w:bottom w:val="none" w:sz="0" w:space="0" w:color="auto"/>
        <w:right w:val="none" w:sz="0" w:space="0" w:color="auto"/>
      </w:divBdr>
    </w:div>
    <w:div w:id="456412944">
      <w:bodyDiv w:val="1"/>
      <w:marLeft w:val="0"/>
      <w:marRight w:val="0"/>
      <w:marTop w:val="0"/>
      <w:marBottom w:val="0"/>
      <w:divBdr>
        <w:top w:val="none" w:sz="0" w:space="0" w:color="auto"/>
        <w:left w:val="none" w:sz="0" w:space="0" w:color="auto"/>
        <w:bottom w:val="none" w:sz="0" w:space="0" w:color="auto"/>
        <w:right w:val="none" w:sz="0" w:space="0" w:color="auto"/>
      </w:divBdr>
    </w:div>
    <w:div w:id="508911005">
      <w:bodyDiv w:val="1"/>
      <w:marLeft w:val="0"/>
      <w:marRight w:val="0"/>
      <w:marTop w:val="0"/>
      <w:marBottom w:val="0"/>
      <w:divBdr>
        <w:top w:val="none" w:sz="0" w:space="0" w:color="auto"/>
        <w:left w:val="none" w:sz="0" w:space="0" w:color="auto"/>
        <w:bottom w:val="none" w:sz="0" w:space="0" w:color="auto"/>
        <w:right w:val="none" w:sz="0" w:space="0" w:color="auto"/>
      </w:divBdr>
    </w:div>
    <w:div w:id="639580995">
      <w:bodyDiv w:val="1"/>
      <w:marLeft w:val="0"/>
      <w:marRight w:val="0"/>
      <w:marTop w:val="0"/>
      <w:marBottom w:val="0"/>
      <w:divBdr>
        <w:top w:val="none" w:sz="0" w:space="0" w:color="auto"/>
        <w:left w:val="none" w:sz="0" w:space="0" w:color="auto"/>
        <w:bottom w:val="none" w:sz="0" w:space="0" w:color="auto"/>
        <w:right w:val="none" w:sz="0" w:space="0" w:color="auto"/>
      </w:divBdr>
    </w:div>
    <w:div w:id="845093490">
      <w:bodyDiv w:val="1"/>
      <w:marLeft w:val="0"/>
      <w:marRight w:val="0"/>
      <w:marTop w:val="0"/>
      <w:marBottom w:val="0"/>
      <w:divBdr>
        <w:top w:val="none" w:sz="0" w:space="0" w:color="auto"/>
        <w:left w:val="none" w:sz="0" w:space="0" w:color="auto"/>
        <w:bottom w:val="none" w:sz="0" w:space="0" w:color="auto"/>
        <w:right w:val="none" w:sz="0" w:space="0" w:color="auto"/>
      </w:divBdr>
    </w:div>
    <w:div w:id="918487574">
      <w:bodyDiv w:val="1"/>
      <w:marLeft w:val="0"/>
      <w:marRight w:val="0"/>
      <w:marTop w:val="0"/>
      <w:marBottom w:val="0"/>
      <w:divBdr>
        <w:top w:val="none" w:sz="0" w:space="0" w:color="auto"/>
        <w:left w:val="none" w:sz="0" w:space="0" w:color="auto"/>
        <w:bottom w:val="none" w:sz="0" w:space="0" w:color="auto"/>
        <w:right w:val="none" w:sz="0" w:space="0" w:color="auto"/>
      </w:divBdr>
    </w:div>
    <w:div w:id="933242686">
      <w:bodyDiv w:val="1"/>
      <w:marLeft w:val="0"/>
      <w:marRight w:val="0"/>
      <w:marTop w:val="0"/>
      <w:marBottom w:val="0"/>
      <w:divBdr>
        <w:top w:val="none" w:sz="0" w:space="0" w:color="auto"/>
        <w:left w:val="none" w:sz="0" w:space="0" w:color="auto"/>
        <w:bottom w:val="none" w:sz="0" w:space="0" w:color="auto"/>
        <w:right w:val="none" w:sz="0" w:space="0" w:color="auto"/>
      </w:divBdr>
    </w:div>
    <w:div w:id="1242104198">
      <w:bodyDiv w:val="1"/>
      <w:marLeft w:val="0"/>
      <w:marRight w:val="0"/>
      <w:marTop w:val="0"/>
      <w:marBottom w:val="0"/>
      <w:divBdr>
        <w:top w:val="none" w:sz="0" w:space="0" w:color="auto"/>
        <w:left w:val="none" w:sz="0" w:space="0" w:color="auto"/>
        <w:bottom w:val="none" w:sz="0" w:space="0" w:color="auto"/>
        <w:right w:val="none" w:sz="0" w:space="0" w:color="auto"/>
      </w:divBdr>
    </w:div>
    <w:div w:id="1302343857">
      <w:bodyDiv w:val="1"/>
      <w:marLeft w:val="0"/>
      <w:marRight w:val="0"/>
      <w:marTop w:val="0"/>
      <w:marBottom w:val="0"/>
      <w:divBdr>
        <w:top w:val="none" w:sz="0" w:space="0" w:color="auto"/>
        <w:left w:val="none" w:sz="0" w:space="0" w:color="auto"/>
        <w:bottom w:val="none" w:sz="0" w:space="0" w:color="auto"/>
        <w:right w:val="none" w:sz="0" w:space="0" w:color="auto"/>
      </w:divBdr>
    </w:div>
    <w:div w:id="1321496284">
      <w:bodyDiv w:val="1"/>
      <w:marLeft w:val="0"/>
      <w:marRight w:val="0"/>
      <w:marTop w:val="0"/>
      <w:marBottom w:val="0"/>
      <w:divBdr>
        <w:top w:val="none" w:sz="0" w:space="0" w:color="auto"/>
        <w:left w:val="none" w:sz="0" w:space="0" w:color="auto"/>
        <w:bottom w:val="none" w:sz="0" w:space="0" w:color="auto"/>
        <w:right w:val="none" w:sz="0" w:space="0" w:color="auto"/>
      </w:divBdr>
    </w:div>
    <w:div w:id="1344012334">
      <w:bodyDiv w:val="1"/>
      <w:marLeft w:val="0"/>
      <w:marRight w:val="0"/>
      <w:marTop w:val="0"/>
      <w:marBottom w:val="0"/>
      <w:divBdr>
        <w:top w:val="none" w:sz="0" w:space="0" w:color="auto"/>
        <w:left w:val="none" w:sz="0" w:space="0" w:color="auto"/>
        <w:bottom w:val="none" w:sz="0" w:space="0" w:color="auto"/>
        <w:right w:val="none" w:sz="0" w:space="0" w:color="auto"/>
      </w:divBdr>
    </w:div>
    <w:div w:id="1395814465">
      <w:bodyDiv w:val="1"/>
      <w:marLeft w:val="0"/>
      <w:marRight w:val="0"/>
      <w:marTop w:val="0"/>
      <w:marBottom w:val="0"/>
      <w:divBdr>
        <w:top w:val="none" w:sz="0" w:space="0" w:color="auto"/>
        <w:left w:val="none" w:sz="0" w:space="0" w:color="auto"/>
        <w:bottom w:val="none" w:sz="0" w:space="0" w:color="auto"/>
        <w:right w:val="none" w:sz="0" w:space="0" w:color="auto"/>
      </w:divBdr>
    </w:div>
    <w:div w:id="1451898551">
      <w:bodyDiv w:val="1"/>
      <w:marLeft w:val="0"/>
      <w:marRight w:val="0"/>
      <w:marTop w:val="0"/>
      <w:marBottom w:val="0"/>
      <w:divBdr>
        <w:top w:val="none" w:sz="0" w:space="0" w:color="auto"/>
        <w:left w:val="none" w:sz="0" w:space="0" w:color="auto"/>
        <w:bottom w:val="none" w:sz="0" w:space="0" w:color="auto"/>
        <w:right w:val="none" w:sz="0" w:space="0" w:color="auto"/>
      </w:divBdr>
    </w:div>
    <w:div w:id="1483085952">
      <w:bodyDiv w:val="1"/>
      <w:marLeft w:val="0"/>
      <w:marRight w:val="0"/>
      <w:marTop w:val="0"/>
      <w:marBottom w:val="0"/>
      <w:divBdr>
        <w:top w:val="none" w:sz="0" w:space="0" w:color="auto"/>
        <w:left w:val="none" w:sz="0" w:space="0" w:color="auto"/>
        <w:bottom w:val="none" w:sz="0" w:space="0" w:color="auto"/>
        <w:right w:val="none" w:sz="0" w:space="0" w:color="auto"/>
      </w:divBdr>
    </w:div>
    <w:div w:id="1500776879">
      <w:bodyDiv w:val="1"/>
      <w:marLeft w:val="0"/>
      <w:marRight w:val="0"/>
      <w:marTop w:val="0"/>
      <w:marBottom w:val="0"/>
      <w:divBdr>
        <w:top w:val="none" w:sz="0" w:space="0" w:color="auto"/>
        <w:left w:val="none" w:sz="0" w:space="0" w:color="auto"/>
        <w:bottom w:val="none" w:sz="0" w:space="0" w:color="auto"/>
        <w:right w:val="none" w:sz="0" w:space="0" w:color="auto"/>
      </w:divBdr>
    </w:div>
    <w:div w:id="1510876717">
      <w:bodyDiv w:val="1"/>
      <w:marLeft w:val="0"/>
      <w:marRight w:val="0"/>
      <w:marTop w:val="0"/>
      <w:marBottom w:val="0"/>
      <w:divBdr>
        <w:top w:val="none" w:sz="0" w:space="0" w:color="auto"/>
        <w:left w:val="none" w:sz="0" w:space="0" w:color="auto"/>
        <w:bottom w:val="none" w:sz="0" w:space="0" w:color="auto"/>
        <w:right w:val="none" w:sz="0" w:space="0" w:color="auto"/>
      </w:divBdr>
    </w:div>
    <w:div w:id="1573543530">
      <w:bodyDiv w:val="1"/>
      <w:marLeft w:val="0"/>
      <w:marRight w:val="0"/>
      <w:marTop w:val="0"/>
      <w:marBottom w:val="0"/>
      <w:divBdr>
        <w:top w:val="none" w:sz="0" w:space="0" w:color="auto"/>
        <w:left w:val="none" w:sz="0" w:space="0" w:color="auto"/>
        <w:bottom w:val="none" w:sz="0" w:space="0" w:color="auto"/>
        <w:right w:val="none" w:sz="0" w:space="0" w:color="auto"/>
      </w:divBdr>
    </w:div>
    <w:div w:id="1664157748">
      <w:bodyDiv w:val="1"/>
      <w:marLeft w:val="0"/>
      <w:marRight w:val="0"/>
      <w:marTop w:val="0"/>
      <w:marBottom w:val="0"/>
      <w:divBdr>
        <w:top w:val="none" w:sz="0" w:space="0" w:color="auto"/>
        <w:left w:val="none" w:sz="0" w:space="0" w:color="auto"/>
        <w:bottom w:val="none" w:sz="0" w:space="0" w:color="auto"/>
        <w:right w:val="none" w:sz="0" w:space="0" w:color="auto"/>
      </w:divBdr>
    </w:div>
    <w:div w:id="1740057262">
      <w:bodyDiv w:val="1"/>
      <w:marLeft w:val="0"/>
      <w:marRight w:val="0"/>
      <w:marTop w:val="0"/>
      <w:marBottom w:val="0"/>
      <w:divBdr>
        <w:top w:val="none" w:sz="0" w:space="0" w:color="auto"/>
        <w:left w:val="none" w:sz="0" w:space="0" w:color="auto"/>
        <w:bottom w:val="none" w:sz="0" w:space="0" w:color="auto"/>
        <w:right w:val="none" w:sz="0" w:space="0" w:color="auto"/>
      </w:divBdr>
    </w:div>
    <w:div w:id="1773352618">
      <w:bodyDiv w:val="1"/>
      <w:marLeft w:val="0"/>
      <w:marRight w:val="0"/>
      <w:marTop w:val="0"/>
      <w:marBottom w:val="0"/>
      <w:divBdr>
        <w:top w:val="none" w:sz="0" w:space="0" w:color="auto"/>
        <w:left w:val="none" w:sz="0" w:space="0" w:color="auto"/>
        <w:bottom w:val="none" w:sz="0" w:space="0" w:color="auto"/>
        <w:right w:val="none" w:sz="0" w:space="0" w:color="auto"/>
      </w:divBdr>
    </w:div>
    <w:div w:id="1804618096">
      <w:bodyDiv w:val="1"/>
      <w:marLeft w:val="0"/>
      <w:marRight w:val="0"/>
      <w:marTop w:val="0"/>
      <w:marBottom w:val="0"/>
      <w:divBdr>
        <w:top w:val="none" w:sz="0" w:space="0" w:color="auto"/>
        <w:left w:val="none" w:sz="0" w:space="0" w:color="auto"/>
        <w:bottom w:val="none" w:sz="0" w:space="0" w:color="auto"/>
        <w:right w:val="none" w:sz="0" w:space="0" w:color="auto"/>
      </w:divBdr>
    </w:div>
    <w:div w:id="1924530287">
      <w:bodyDiv w:val="1"/>
      <w:marLeft w:val="0"/>
      <w:marRight w:val="0"/>
      <w:marTop w:val="0"/>
      <w:marBottom w:val="0"/>
      <w:divBdr>
        <w:top w:val="none" w:sz="0" w:space="0" w:color="auto"/>
        <w:left w:val="none" w:sz="0" w:space="0" w:color="auto"/>
        <w:bottom w:val="none" w:sz="0" w:space="0" w:color="auto"/>
        <w:right w:val="none" w:sz="0" w:space="0" w:color="auto"/>
      </w:divBdr>
    </w:div>
    <w:div w:id="1960525823">
      <w:bodyDiv w:val="1"/>
      <w:marLeft w:val="0"/>
      <w:marRight w:val="0"/>
      <w:marTop w:val="0"/>
      <w:marBottom w:val="0"/>
      <w:divBdr>
        <w:top w:val="none" w:sz="0" w:space="0" w:color="auto"/>
        <w:left w:val="none" w:sz="0" w:space="0" w:color="auto"/>
        <w:bottom w:val="none" w:sz="0" w:space="0" w:color="auto"/>
        <w:right w:val="none" w:sz="0" w:space="0" w:color="auto"/>
      </w:divBdr>
    </w:div>
    <w:div w:id="2039232767">
      <w:bodyDiv w:val="1"/>
      <w:marLeft w:val="0"/>
      <w:marRight w:val="0"/>
      <w:marTop w:val="0"/>
      <w:marBottom w:val="0"/>
      <w:divBdr>
        <w:top w:val="none" w:sz="0" w:space="0" w:color="auto"/>
        <w:left w:val="none" w:sz="0" w:space="0" w:color="auto"/>
        <w:bottom w:val="none" w:sz="0" w:space="0" w:color="auto"/>
        <w:right w:val="none" w:sz="0" w:space="0" w:color="auto"/>
      </w:divBdr>
    </w:div>
    <w:div w:id="206320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Prihod (Mil. €)</c:v>
                </c:pt>
              </c:strCache>
            </c:strRef>
          </c:tx>
          <c:spPr>
            <a:solidFill>
              <a:schemeClr val="tx1">
                <a:lumMod val="65000"/>
                <a:lumOff val="35000"/>
              </a:schemeClr>
            </a:solidFill>
            <a:ln>
              <a:noFill/>
            </a:ln>
            <a:effectLst/>
          </c:spPr>
          <c:invertIfNegative val="0"/>
          <c:dLbls>
            <c:dLbl>
              <c:idx val="2"/>
              <c:tx>
                <c:rich>
                  <a:bodyPr/>
                  <a:lstStyle/>
                  <a:p>
                    <a:r>
                      <a:rPr lang="en-US"/>
                      <a:t>0,772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3FD-4A87-99B6-E7FFFE954FBD}"/>
                </c:ext>
              </c:extLst>
            </c:dLbl>
            <c:dLbl>
              <c:idx val="4"/>
              <c:layout>
                <c:manualLayout>
                  <c:x val="-1.4724641620862865E-2"/>
                  <c:y val="-4.0411182187769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D-4A87-99B6-E7FFFE954FBD}"/>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PRIHOD-SEKTOR USLUGE ODRŽAVANJA GRADA</c:v>
                </c:pt>
                <c:pt idx="1">
                  <c:v>PRIHOD-SEKTOR JAVNE USLUGE</c:v>
                </c:pt>
                <c:pt idx="2">
                  <c:v>OSTALI POSLOVNI PRIHODI</c:v>
                </c:pt>
                <c:pt idx="3">
                  <c:v>FINANCIJSKI PRIHODI</c:v>
                </c:pt>
              </c:strCache>
            </c:strRef>
          </c:cat>
          <c:val>
            <c:numRef>
              <c:f>List1!$B$2:$B$5</c:f>
              <c:numCache>
                <c:formatCode>#,##0.000</c:formatCode>
                <c:ptCount val="4"/>
                <c:pt idx="0">
                  <c:v>11.698</c:v>
                </c:pt>
                <c:pt idx="1">
                  <c:v>3.91</c:v>
                </c:pt>
                <c:pt idx="2">
                  <c:v>0.77300000000000002</c:v>
                </c:pt>
                <c:pt idx="3">
                  <c:v>1.4E-2</c:v>
                </c:pt>
              </c:numCache>
            </c:numRef>
          </c:val>
          <c:extLst>
            <c:ext xmlns:c16="http://schemas.microsoft.com/office/drawing/2014/chart" uri="{C3380CC4-5D6E-409C-BE32-E72D297353CC}">
              <c16:uniqueId val="{00000002-63FD-4A87-99B6-E7FFFE954FBD}"/>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48615753240326"/>
          <c:y val="2.4881683096699532E-2"/>
          <c:w val="0.93389750739732635"/>
          <c:h val="0.79933270637664589"/>
        </c:manualLayout>
      </c:layout>
      <c:pieChart>
        <c:varyColors val="1"/>
        <c:ser>
          <c:idx val="0"/>
          <c:order val="0"/>
          <c:tx>
            <c:strRef>
              <c:f>List1!$B$1</c:f>
              <c:strCache>
                <c:ptCount val="1"/>
                <c:pt idx="0">
                  <c:v>BROJ ZAPOSLENIH</c:v>
                </c:pt>
              </c:strCache>
            </c:strRef>
          </c:tx>
          <c:spPr>
            <a:solidFill>
              <a:schemeClr val="accent1"/>
            </a:solidFill>
          </c:spPr>
          <c:dPt>
            <c:idx val="0"/>
            <c:bubble3D val="0"/>
            <c:spPr>
              <a:solidFill>
                <a:schemeClr val="tx1">
                  <a:lumMod val="65000"/>
                  <a:lumOff val="35000"/>
                </a:schemeClr>
              </a:solidFill>
              <a:ln>
                <a:noFill/>
              </a:ln>
              <a:effectLst/>
            </c:spPr>
            <c:extLst>
              <c:ext xmlns:c16="http://schemas.microsoft.com/office/drawing/2014/chart" uri="{C3380CC4-5D6E-409C-BE32-E72D297353CC}">
                <c16:uniqueId val="{00000001-4FFC-4736-A514-32848BEAD00C}"/>
              </c:ext>
            </c:extLst>
          </c:dPt>
          <c:dPt>
            <c:idx val="1"/>
            <c:bubble3D val="0"/>
            <c:spPr>
              <a:solidFill>
                <a:schemeClr val="bg2">
                  <a:lumMod val="50000"/>
                </a:schemeClr>
              </a:solidFill>
              <a:ln>
                <a:noFill/>
              </a:ln>
              <a:effectLst/>
            </c:spPr>
            <c:extLst>
              <c:ext xmlns:c16="http://schemas.microsoft.com/office/drawing/2014/chart" uri="{C3380CC4-5D6E-409C-BE32-E72D297353CC}">
                <c16:uniqueId val="{00000003-4FFC-4736-A514-32848BEAD00C}"/>
              </c:ext>
            </c:extLst>
          </c:dPt>
          <c:dPt>
            <c:idx val="2"/>
            <c:bubble3D val="0"/>
            <c:spPr>
              <a:solidFill>
                <a:schemeClr val="accent1"/>
              </a:solidFill>
              <a:ln>
                <a:noFill/>
              </a:ln>
              <a:effectLst/>
            </c:spPr>
            <c:extLst>
              <c:ext xmlns:c16="http://schemas.microsoft.com/office/drawing/2014/chart" uri="{C3380CC4-5D6E-409C-BE32-E72D297353CC}">
                <c16:uniqueId val="{00000005-4FFC-4736-A514-32848BEAD00C}"/>
              </c:ext>
            </c:extLst>
          </c:dPt>
          <c:dPt>
            <c:idx val="3"/>
            <c:bubble3D val="0"/>
            <c:spPr>
              <a:solidFill>
                <a:schemeClr val="accent2"/>
              </a:solidFill>
              <a:ln>
                <a:noFill/>
              </a:ln>
              <a:effectLst/>
            </c:spPr>
            <c:extLst>
              <c:ext xmlns:c16="http://schemas.microsoft.com/office/drawing/2014/chart" uri="{C3380CC4-5D6E-409C-BE32-E72D297353CC}">
                <c16:uniqueId val="{00000007-4FFC-4736-A514-32848BEAD00C}"/>
              </c:ext>
            </c:extLst>
          </c:dPt>
          <c:dPt>
            <c:idx val="4"/>
            <c:bubble3D val="0"/>
            <c:spPr>
              <a:solidFill>
                <a:schemeClr val="tx1"/>
              </a:solidFill>
              <a:ln>
                <a:noFill/>
              </a:ln>
              <a:effectLst/>
            </c:spPr>
            <c:extLst>
              <c:ext xmlns:c16="http://schemas.microsoft.com/office/drawing/2014/chart" uri="{C3380CC4-5D6E-409C-BE32-E72D297353CC}">
                <c16:uniqueId val="{00000009-4FFC-4736-A514-32848BEAD00C}"/>
              </c:ext>
            </c:extLst>
          </c:dPt>
          <c:dLbls>
            <c:dLbl>
              <c:idx val="0"/>
              <c:layout>
                <c:manualLayout>
                  <c:x val="1.7640573318632856E-2"/>
                  <c:y val="-2.0206873747080829E-3"/>
                </c:manualLayout>
              </c:layout>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FC-4736-A514-32848BEAD00C}"/>
                </c:ext>
              </c:extLst>
            </c:dLbl>
            <c:dLbl>
              <c:idx val="1"/>
              <c:layout>
                <c:manualLayout>
                  <c:x val="-7.9924819210167655E-2"/>
                  <c:y val="-4.7452311571289811E-2"/>
                </c:manualLayout>
              </c:layout>
              <c:spPr>
                <a:solidFill>
                  <a:schemeClr val="bg2">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FC-4736-A514-32848BEAD00C}"/>
                </c:ext>
              </c:extLst>
            </c:dLbl>
            <c:dLbl>
              <c:idx val="2"/>
              <c:layout>
                <c:manualLayout>
                  <c:x val="-1.1326647400663741E-3"/>
                  <c:y val="-7.4086311492851E-17"/>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FC-4736-A514-32848BEAD00C}"/>
                </c:ext>
              </c:extLst>
            </c:dLbl>
            <c:dLbl>
              <c:idx val="3"/>
              <c:layout>
                <c:manualLayout>
                  <c:x val="-9.2613009922822495E-2"/>
                  <c:y val="1.3123359580052493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FC-4736-A514-32848BEAD00C}"/>
                </c:ext>
              </c:extLst>
            </c:dLbl>
            <c:dLbl>
              <c:idx val="4"/>
              <c:layout>
                <c:manualLayout>
                  <c:x val="0.15588502374358662"/>
                  <c:y val="7.8094322855312302E-4"/>
                </c:manualLayout>
              </c:layout>
              <c:spPr>
                <a:solidFill>
                  <a:schemeClr val="tx1"/>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FC-4736-A514-32848BEAD00C}"/>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FC-4736-A514-32848BEAD00C}"/>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FC-4736-A514-32848BEAD00C}"/>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FC-4736-A514-32848BEAD00C}"/>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List1!$A$2:$A$6</c:f>
              <c:strCache>
                <c:ptCount val="5"/>
                <c:pt idx="0">
                  <c:v>SEKTOR USLUGE ODRŽAVANJA GRADA</c:v>
                </c:pt>
                <c:pt idx="1">
                  <c:v>SEKTOR JAVNE USLUGE</c:v>
                </c:pt>
                <c:pt idx="2">
                  <c:v>SEKTOR ZA LJUDSKE POTENCIJALE I POSLOVNU PODRŠKU</c:v>
                </c:pt>
                <c:pt idx="3">
                  <c:v>ODJEL FiR</c:v>
                </c:pt>
                <c:pt idx="4">
                  <c:v>URED DIREKTORA</c:v>
                </c:pt>
              </c:strCache>
            </c:strRef>
          </c:cat>
          <c:val>
            <c:numRef>
              <c:f>List1!$B$2:$B$6</c:f>
              <c:numCache>
                <c:formatCode>0.00%</c:formatCode>
                <c:ptCount val="5"/>
                <c:pt idx="0">
                  <c:v>0.43621399176954734</c:v>
                </c:pt>
                <c:pt idx="1">
                  <c:v>0.35390946502057613</c:v>
                </c:pt>
                <c:pt idx="2">
                  <c:v>0.1440329218106996</c:v>
                </c:pt>
                <c:pt idx="3">
                  <c:v>4.9382716049382713E-2</c:v>
                </c:pt>
                <c:pt idx="4">
                  <c:v>1.646090534979424E-2</c:v>
                </c:pt>
              </c:numCache>
            </c:numRef>
          </c:val>
          <c:extLst>
            <c:ext xmlns:c16="http://schemas.microsoft.com/office/drawing/2014/chart" uri="{C3380CC4-5D6E-409C-BE32-E72D297353CC}">
              <c16:uniqueId val="{0000000D-4FFC-4736-A514-32848BEAD00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8904302808605618"/>
          <c:w val="1"/>
          <c:h val="9.1271932543865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39168902341737E-2"/>
          <c:y val="8.0135374278346175E-2"/>
          <c:w val="0.93389750739732635"/>
          <c:h val="0.79933270637664589"/>
        </c:manualLayout>
      </c:layout>
      <c:barChart>
        <c:barDir val="col"/>
        <c:grouping val="clustered"/>
        <c:varyColors val="0"/>
        <c:ser>
          <c:idx val="0"/>
          <c:order val="0"/>
          <c:tx>
            <c:strRef>
              <c:f>List1!$B$1</c:f>
              <c:strCache>
                <c:ptCount val="1"/>
                <c:pt idx="0">
                  <c:v>BROJ ZAPOSLENIH</c:v>
                </c:pt>
              </c:strCache>
            </c:strRef>
          </c:tx>
          <c:spPr>
            <a:solidFill>
              <a:schemeClr val="tx1">
                <a:lumMod val="50000"/>
                <a:lumOff val="50000"/>
              </a:schemeClr>
            </a:solidFill>
            <a:ln>
              <a:noFill/>
            </a:ln>
            <a:effectLst/>
          </c:spPr>
          <c:invertIfNegative val="0"/>
          <c:dLbls>
            <c:dLbl>
              <c:idx val="0"/>
              <c:layout>
                <c:manualLayout>
                  <c:x val="0"/>
                  <c:y val="-2.02055910938845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29-4D36-9F7F-4F9FCA84227F}"/>
                </c:ext>
              </c:extLst>
            </c:dLbl>
            <c:dLbl>
              <c:idx val="2"/>
              <c:layout>
                <c:manualLayout>
                  <c:x val="-1.1326647400663741E-3"/>
                  <c:y val="-7.4086311492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29-4D36-9F7F-4F9FCA84227F}"/>
                </c:ext>
              </c:extLst>
            </c:dLbl>
            <c:spPr>
              <a:solidFill>
                <a:schemeClr val="tx1">
                  <a:lumMod val="50000"/>
                  <a:lumOff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1.1.2021</c:v>
                </c:pt>
                <c:pt idx="1">
                  <c:v>1.1.2022</c:v>
                </c:pt>
                <c:pt idx="2">
                  <c:v>1.1.2023</c:v>
                </c:pt>
                <c:pt idx="3">
                  <c:v>1.1.2024</c:v>
                </c:pt>
                <c:pt idx="4">
                  <c:v>1.1.2025</c:v>
                </c:pt>
              </c:strCache>
            </c:strRef>
          </c:cat>
          <c:val>
            <c:numRef>
              <c:f>List1!$B$2:$B$6</c:f>
              <c:numCache>
                <c:formatCode>#,##0</c:formatCode>
                <c:ptCount val="5"/>
                <c:pt idx="0">
                  <c:v>253</c:v>
                </c:pt>
                <c:pt idx="1">
                  <c:v>248</c:v>
                </c:pt>
                <c:pt idx="2">
                  <c:v>234</c:v>
                </c:pt>
                <c:pt idx="3">
                  <c:v>233</c:v>
                </c:pt>
                <c:pt idx="4">
                  <c:v>239</c:v>
                </c:pt>
              </c:numCache>
            </c:numRef>
          </c:val>
          <c:extLst>
            <c:ext xmlns:c16="http://schemas.microsoft.com/office/drawing/2014/chart" uri="{C3380CC4-5D6E-409C-BE32-E72D297353CC}">
              <c16:uniqueId val="{00000002-3729-4D36-9F7F-4F9FCA84227F}"/>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1"/>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cap="all" spc="50" baseline="0">
                <a:solidFill>
                  <a:schemeClr val="tx1">
                    <a:lumMod val="65000"/>
                    <a:lumOff val="35000"/>
                  </a:schemeClr>
                </a:solidFill>
                <a:latin typeface="+mn-lt"/>
                <a:ea typeface="+mn-ea"/>
                <a:cs typeface="+mn-cs"/>
              </a:defRPr>
            </a:pPr>
            <a:r>
              <a:rPr lang="hr-HR" sz="1600" b="1" baseline="0" dirty="0">
                <a:solidFill>
                  <a:schemeClr val="bg1"/>
                </a:solidFill>
                <a:latin typeface="Calibri" panose="020F0502020204030204" pitchFamily="34" charset="0"/>
                <a:cs typeface="Calibri" panose="020F0502020204030204" pitchFamily="34" charset="0"/>
              </a:rPr>
              <a:t>FLUKTUACIJA ZAPOSLENIH U PERIODU 2022-2024. GODINA</a:t>
            </a:r>
            <a:endParaRPr lang="en-GB" sz="1600" b="1" baseline="0" dirty="0">
              <a:solidFill>
                <a:schemeClr val="bg1"/>
              </a:solidFill>
              <a:latin typeface="Calibri" panose="020F0502020204030204" pitchFamily="34" charset="0"/>
              <a:cs typeface="Calibri" panose="020F0502020204030204" pitchFamily="34" charset="0"/>
            </a:endParaRPr>
          </a:p>
        </c:rich>
      </c:tx>
      <c:layout>
        <c:manualLayout>
          <c:xMode val="edge"/>
          <c:yMode val="edge"/>
          <c:x val="0.26926134294617871"/>
          <c:y val="1.0021495885139328E-2"/>
        </c:manualLayout>
      </c:layout>
      <c:overlay val="0"/>
      <c:spPr>
        <a:noFill/>
        <a:ln>
          <a:noFill/>
        </a:ln>
        <a:effectLst/>
      </c:spPr>
      <c:txPr>
        <a:bodyPr rot="0" spcFirstLastPara="1" vertOverflow="ellipsis" vert="horz" wrap="square" anchor="ctr" anchorCtr="1"/>
        <a:lstStyle/>
        <a:p>
          <a:pPr>
            <a:defRPr sz="2200" b="1" i="0" u="none" strike="noStrike" kern="1200" cap="all" spc="5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5.8173839422208988E-2"/>
          <c:y val="8.0135374278346175E-2"/>
          <c:w val="0.93389750739732635"/>
          <c:h val="0.79933270637664589"/>
        </c:manualLayout>
      </c:layout>
      <c:barChart>
        <c:barDir val="col"/>
        <c:grouping val="clustered"/>
        <c:varyColors val="0"/>
        <c:ser>
          <c:idx val="0"/>
          <c:order val="0"/>
          <c:tx>
            <c:strRef>
              <c:f>List1!$B$1</c:f>
              <c:strCache>
                <c:ptCount val="1"/>
                <c:pt idx="0">
                  <c:v>2022. GODINA</c:v>
                </c:pt>
              </c:strCache>
            </c:strRef>
          </c:tx>
          <c:spPr>
            <a:solidFill>
              <a:schemeClr val="tx1">
                <a:lumMod val="65000"/>
                <a:lumOff val="35000"/>
              </a:schemeClr>
            </a:solidFill>
            <a:ln>
              <a:noFill/>
            </a:ln>
            <a:effectLst/>
          </c:spPr>
          <c:invertIfNegative val="0"/>
          <c:dLbls>
            <c:dLbl>
              <c:idx val="0"/>
              <c:layout>
                <c:manualLayout>
                  <c:x val="0"/>
                  <c:y val="-2.02055910938845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E8-47A7-9C70-AC5982DC5FC9}"/>
                </c:ext>
              </c:extLst>
            </c:dLbl>
            <c:dLbl>
              <c:idx val="2"/>
              <c:layout>
                <c:manualLayout>
                  <c:x val="-1.1326647400663741E-3"/>
                  <c:y val="-7.4086311492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E8-47A7-9C70-AC5982DC5FC9}"/>
                </c:ext>
              </c:extLst>
            </c:dLbl>
            <c:dLbl>
              <c:idx val="4"/>
              <c:layout>
                <c:manualLayout>
                  <c:x val="-1.1326647400664571E-3"/>
                  <c:y val="-3.70431557464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E8-47A7-9C70-AC5982DC5FC9}"/>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E8-47A7-9C70-AC5982DC5FC9}"/>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E8-47A7-9C70-AC5982DC5FC9}"/>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E8-47A7-9C70-AC5982DC5FC9}"/>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ODLASCI IZ DRUŠTVA</c:v>
                </c:pt>
                <c:pt idx="1">
                  <c:v>DOLASCI U DRUŠTVO</c:v>
                </c:pt>
              </c:strCache>
            </c:strRef>
          </c:cat>
          <c:val>
            <c:numRef>
              <c:f>List1!$B$2:$B$3</c:f>
              <c:numCache>
                <c:formatCode>#,##0</c:formatCode>
                <c:ptCount val="2"/>
                <c:pt idx="0">
                  <c:v>34</c:v>
                </c:pt>
                <c:pt idx="1">
                  <c:v>21</c:v>
                </c:pt>
              </c:numCache>
            </c:numRef>
          </c:val>
          <c:extLst>
            <c:ext xmlns:c16="http://schemas.microsoft.com/office/drawing/2014/chart" uri="{C3380CC4-5D6E-409C-BE32-E72D297353CC}">
              <c16:uniqueId val="{00000006-CAE8-47A7-9C70-AC5982DC5FC9}"/>
            </c:ext>
          </c:extLst>
        </c:ser>
        <c:ser>
          <c:idx val="1"/>
          <c:order val="1"/>
          <c:tx>
            <c:strRef>
              <c:f>List1!$C$1</c:f>
              <c:strCache>
                <c:ptCount val="1"/>
                <c:pt idx="0">
                  <c:v>2023. GODINA</c:v>
                </c:pt>
              </c:strCache>
            </c:strRef>
          </c:tx>
          <c:spPr>
            <a:solidFill>
              <a:schemeClr val="bg2">
                <a:lumMod val="50000"/>
              </a:schemeClr>
            </a:solidFill>
            <a:ln>
              <a:noFill/>
            </a:ln>
            <a:effectLst/>
          </c:spPr>
          <c:invertIfNegative val="0"/>
          <c:dLbls>
            <c:spPr>
              <a:solidFill>
                <a:schemeClr val="bg2">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ODLASCI IZ DRUŠTVA</c:v>
                </c:pt>
                <c:pt idx="1">
                  <c:v>DOLASCI U DRUŠTVO</c:v>
                </c:pt>
              </c:strCache>
            </c:strRef>
          </c:cat>
          <c:val>
            <c:numRef>
              <c:f>List1!$C$2:$C$3</c:f>
              <c:numCache>
                <c:formatCode>#,##0</c:formatCode>
                <c:ptCount val="2"/>
                <c:pt idx="0">
                  <c:v>25</c:v>
                </c:pt>
                <c:pt idx="1">
                  <c:v>23</c:v>
                </c:pt>
              </c:numCache>
            </c:numRef>
          </c:val>
          <c:extLst>
            <c:ext xmlns:c16="http://schemas.microsoft.com/office/drawing/2014/chart" uri="{C3380CC4-5D6E-409C-BE32-E72D297353CC}">
              <c16:uniqueId val="{00000007-CAE8-47A7-9C70-AC5982DC5FC9}"/>
            </c:ext>
          </c:extLst>
        </c:ser>
        <c:ser>
          <c:idx val="2"/>
          <c:order val="2"/>
          <c:tx>
            <c:strRef>
              <c:f>List1!$D$1</c:f>
              <c:strCache>
                <c:ptCount val="1"/>
                <c:pt idx="0">
                  <c:v>2024. GODINA</c:v>
                </c:pt>
              </c:strCache>
            </c:strRef>
          </c:tx>
          <c:spPr>
            <a:solidFill>
              <a:schemeClr val="bg1">
                <a:lumMod val="65000"/>
              </a:schemeClr>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ODLASCI IZ DRUŠTVA</c:v>
                </c:pt>
                <c:pt idx="1">
                  <c:v>DOLASCI U DRUŠTVO</c:v>
                </c:pt>
              </c:strCache>
            </c:strRef>
          </c:cat>
          <c:val>
            <c:numRef>
              <c:f>List1!$D$2:$D$3</c:f>
              <c:numCache>
                <c:formatCode>#,##0</c:formatCode>
                <c:ptCount val="2"/>
                <c:pt idx="0">
                  <c:v>25</c:v>
                </c:pt>
                <c:pt idx="1">
                  <c:v>30</c:v>
                </c:pt>
              </c:numCache>
            </c:numRef>
          </c:val>
          <c:extLst>
            <c:ext xmlns:c16="http://schemas.microsoft.com/office/drawing/2014/chart" uri="{C3380CC4-5D6E-409C-BE32-E72D297353CC}">
              <c16:uniqueId val="{00000008-CAE8-47A7-9C70-AC5982DC5FC9}"/>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layout>
        <c:manualLayout>
          <c:xMode val="edge"/>
          <c:yMode val="edge"/>
          <c:x val="0.25035515544018955"/>
          <c:y val="0.94176977877765267"/>
          <c:w val="0.49928951549193068"/>
          <c:h val="5.82302212223472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73839422208988E-2"/>
          <c:y val="8.4176492497123084E-2"/>
          <c:w val="0.93389750739732635"/>
          <c:h val="0.79933270637664589"/>
        </c:manualLayout>
      </c:layout>
      <c:barChart>
        <c:barDir val="col"/>
        <c:grouping val="clustered"/>
        <c:varyColors val="0"/>
        <c:ser>
          <c:idx val="0"/>
          <c:order val="0"/>
          <c:tx>
            <c:strRef>
              <c:f>List1!$B$1</c:f>
              <c:strCache>
                <c:ptCount val="1"/>
                <c:pt idx="0">
                  <c:v>KOLIČINA PRIKUPLJENOG KOMUNALANOG OTPADA (T)</c:v>
                </c:pt>
              </c:strCache>
            </c:strRef>
          </c:tx>
          <c:spPr>
            <a:solidFill>
              <a:schemeClr val="tx1">
                <a:lumMod val="65000"/>
                <a:lumOff val="35000"/>
              </a:schemeClr>
            </a:solidFill>
            <a:ln>
              <a:noFill/>
            </a:ln>
            <a:effectLst/>
          </c:spPr>
          <c:invertIfNegative val="0"/>
          <c:dLbls>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2020. godina</c:v>
                </c:pt>
                <c:pt idx="1">
                  <c:v>2021. godina</c:v>
                </c:pt>
                <c:pt idx="2">
                  <c:v>2022. godina</c:v>
                </c:pt>
                <c:pt idx="3">
                  <c:v>2023. godina</c:v>
                </c:pt>
                <c:pt idx="4">
                  <c:v>2024. godina</c:v>
                </c:pt>
              </c:strCache>
            </c:strRef>
          </c:cat>
          <c:val>
            <c:numRef>
              <c:f>List1!$B$2:$B$6</c:f>
              <c:numCache>
                <c:formatCode>#,##0</c:formatCode>
                <c:ptCount val="5"/>
                <c:pt idx="0">
                  <c:v>11959</c:v>
                </c:pt>
                <c:pt idx="1">
                  <c:v>11498</c:v>
                </c:pt>
                <c:pt idx="2">
                  <c:v>11346</c:v>
                </c:pt>
                <c:pt idx="3">
                  <c:v>11270</c:v>
                </c:pt>
                <c:pt idx="4">
                  <c:v>11783</c:v>
                </c:pt>
              </c:numCache>
            </c:numRef>
          </c:val>
          <c:extLst>
            <c:ext xmlns:c16="http://schemas.microsoft.com/office/drawing/2014/chart" uri="{C3380CC4-5D6E-409C-BE32-E72D297353CC}">
              <c16:uniqueId val="{00000000-AC78-441B-B061-07AD7AEBDA2D}"/>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73839422208988E-2"/>
          <c:y val="8.4176492497123084E-2"/>
          <c:w val="0.93389750739732635"/>
          <c:h val="0.79933270637664589"/>
        </c:manualLayout>
      </c:layout>
      <c:barChart>
        <c:barDir val="col"/>
        <c:grouping val="clustered"/>
        <c:varyColors val="0"/>
        <c:ser>
          <c:idx val="0"/>
          <c:order val="0"/>
          <c:tx>
            <c:strRef>
              <c:f>List1!$B$1</c:f>
              <c:strCache>
                <c:ptCount val="1"/>
                <c:pt idx="0">
                  <c:v>UDIO MKO (%)</c:v>
                </c:pt>
              </c:strCache>
            </c:strRef>
          </c:tx>
          <c:spPr>
            <a:solidFill>
              <a:schemeClr val="tx1">
                <a:lumMod val="65000"/>
                <a:lumOff val="35000"/>
              </a:schemeClr>
            </a:solidFill>
            <a:ln>
              <a:noFill/>
            </a:ln>
            <a:effectLst/>
          </c:spPr>
          <c:invertIfNegative val="0"/>
          <c:dLbls>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2020. godina</c:v>
                </c:pt>
                <c:pt idx="1">
                  <c:v>2021. godina</c:v>
                </c:pt>
                <c:pt idx="2">
                  <c:v>2022. godina</c:v>
                </c:pt>
                <c:pt idx="3">
                  <c:v>2023. godina</c:v>
                </c:pt>
                <c:pt idx="4">
                  <c:v>2024. godina</c:v>
                </c:pt>
              </c:strCache>
            </c:strRef>
          </c:cat>
          <c:val>
            <c:numRef>
              <c:f>List1!$B$2:$B$6</c:f>
              <c:numCache>
                <c:formatCode>#,##0.00</c:formatCode>
                <c:ptCount val="5"/>
                <c:pt idx="0">
                  <c:v>65.88</c:v>
                </c:pt>
                <c:pt idx="1">
                  <c:v>66.13</c:v>
                </c:pt>
                <c:pt idx="2">
                  <c:v>64.739999999999995</c:v>
                </c:pt>
                <c:pt idx="3">
                  <c:v>62.2</c:v>
                </c:pt>
                <c:pt idx="4">
                  <c:v>61.56</c:v>
                </c:pt>
              </c:numCache>
            </c:numRef>
          </c:val>
          <c:extLst>
            <c:ext xmlns:c16="http://schemas.microsoft.com/office/drawing/2014/chart" uri="{C3380CC4-5D6E-409C-BE32-E72D297353CC}">
              <c16:uniqueId val="{00000000-41E7-4665-A419-647CA0DE6539}"/>
            </c:ext>
          </c:extLst>
        </c:ser>
        <c:ser>
          <c:idx val="1"/>
          <c:order val="1"/>
          <c:tx>
            <c:strRef>
              <c:f>List1!$C$1</c:f>
              <c:strCache>
                <c:ptCount val="1"/>
                <c:pt idx="0">
                  <c:v>UDIO ODVOJENO SKUPLJENOG OTPADA (%)</c:v>
                </c:pt>
              </c:strCache>
            </c:strRef>
          </c:tx>
          <c:spPr>
            <a:solidFill>
              <a:schemeClr val="accent2"/>
            </a:solidFill>
            <a:ln>
              <a:noFill/>
            </a:ln>
            <a:effectLst/>
          </c:spPr>
          <c:invertIfNegative val="0"/>
          <c:dLbls>
            <c:spPr>
              <a:solidFill>
                <a:schemeClr val="accent2"/>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2020. godina</c:v>
                </c:pt>
                <c:pt idx="1">
                  <c:v>2021. godina</c:v>
                </c:pt>
                <c:pt idx="2">
                  <c:v>2022. godina</c:v>
                </c:pt>
                <c:pt idx="3">
                  <c:v>2023. godina</c:v>
                </c:pt>
                <c:pt idx="4">
                  <c:v>2024. godina</c:v>
                </c:pt>
              </c:strCache>
            </c:strRef>
          </c:cat>
          <c:val>
            <c:numRef>
              <c:f>List1!$C$2:$C$6</c:f>
              <c:numCache>
                <c:formatCode>#,##0.00</c:formatCode>
                <c:ptCount val="5"/>
                <c:pt idx="0">
                  <c:v>34.119999999999997</c:v>
                </c:pt>
                <c:pt idx="1">
                  <c:v>33.869999999999997</c:v>
                </c:pt>
                <c:pt idx="2">
                  <c:v>35.26</c:v>
                </c:pt>
                <c:pt idx="3">
                  <c:v>37.799999999999997</c:v>
                </c:pt>
                <c:pt idx="4">
                  <c:v>38.44</c:v>
                </c:pt>
              </c:numCache>
            </c:numRef>
          </c:val>
          <c:extLst>
            <c:ext xmlns:c16="http://schemas.microsoft.com/office/drawing/2014/chart" uri="{C3380CC4-5D6E-409C-BE32-E72D297353CC}">
              <c16:uniqueId val="{00000001-41E7-4665-A419-647CA0DE6539}"/>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layout>
        <c:manualLayout>
          <c:xMode val="edge"/>
          <c:yMode val="edge"/>
          <c:x val="0.22767608018126728"/>
          <c:y val="0.94997661930189758"/>
          <c:w val="0.54905780933943349"/>
          <c:h val="5.00233806981023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240412372016685E-2"/>
          <c:y val="9.4279288044065365E-2"/>
          <c:w val="0.9451676107471868"/>
          <c:h val="0.80746617273807553"/>
        </c:manualLayout>
      </c:layout>
      <c:barChart>
        <c:barDir val="col"/>
        <c:grouping val="clustered"/>
        <c:varyColors val="0"/>
        <c:ser>
          <c:idx val="0"/>
          <c:order val="0"/>
          <c:tx>
            <c:strRef>
              <c:f>List1!$B$1</c:f>
              <c:strCache>
                <c:ptCount val="1"/>
                <c:pt idx="0">
                  <c:v>BROJ POGREBA</c:v>
                </c:pt>
              </c:strCache>
            </c:strRef>
          </c:tx>
          <c:spPr>
            <a:solidFill>
              <a:schemeClr val="tx1">
                <a:lumMod val="65000"/>
                <a:lumOff val="35000"/>
              </a:schemeClr>
            </a:solidFill>
            <a:ln>
              <a:noFill/>
            </a:ln>
            <a:effectLst/>
          </c:spPr>
          <c:invertIfNegative val="0"/>
          <c:dLbls>
            <c:dLbl>
              <c:idx val="4"/>
              <c:layout>
                <c:manualLayout>
                  <c:x val="-3.699311566208579E-3"/>
                  <c:y val="-4.0411649874880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77-4079-9906-84613B3A53E1}"/>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2020. GODINA</c:v>
                </c:pt>
                <c:pt idx="1">
                  <c:v>2021. GODINA</c:v>
                </c:pt>
                <c:pt idx="2">
                  <c:v>2022. GODINA</c:v>
                </c:pt>
                <c:pt idx="3">
                  <c:v>2023. GODINA</c:v>
                </c:pt>
                <c:pt idx="4">
                  <c:v>2024. GODINA</c:v>
                </c:pt>
              </c:strCache>
            </c:strRef>
          </c:cat>
          <c:val>
            <c:numRef>
              <c:f>List1!$B$2:$B$6</c:f>
              <c:numCache>
                <c:formatCode>#,##0</c:formatCode>
                <c:ptCount val="5"/>
                <c:pt idx="0">
                  <c:v>444</c:v>
                </c:pt>
                <c:pt idx="1">
                  <c:v>465</c:v>
                </c:pt>
                <c:pt idx="2">
                  <c:v>398</c:v>
                </c:pt>
                <c:pt idx="3">
                  <c:v>363</c:v>
                </c:pt>
                <c:pt idx="4">
                  <c:v>397</c:v>
                </c:pt>
              </c:numCache>
            </c:numRef>
          </c:val>
          <c:extLst>
            <c:ext xmlns:c16="http://schemas.microsoft.com/office/drawing/2014/chart" uri="{C3380CC4-5D6E-409C-BE32-E72D297353CC}">
              <c16:uniqueId val="{00000001-C877-4079-9906-84613B3A53E1}"/>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layout>
        <c:manualLayout>
          <c:xMode val="edge"/>
          <c:yMode val="edge"/>
          <c:x val="0.40267751260971102"/>
          <c:y val="0.94985326293447925"/>
          <c:w val="0.19464497478057802"/>
          <c:h val="5.01467370655207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Dobit/gubitak (Mil. €)</c:v>
                </c:pt>
              </c:strCache>
            </c:strRef>
          </c:tx>
          <c:spPr>
            <a:solidFill>
              <a:schemeClr val="tx1">
                <a:lumMod val="65000"/>
                <a:lumOff val="35000"/>
              </a:schemeClr>
            </a:solidFill>
            <a:ln>
              <a:noFill/>
            </a:ln>
            <a:effectLst/>
          </c:spPr>
          <c:invertIfNegative val="0"/>
          <c:dLbls>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List1!$A$2:$A$6</c:f>
              <c:strCache>
                <c:ptCount val="5"/>
                <c:pt idx="0">
                  <c:v>2020. godina</c:v>
                </c:pt>
                <c:pt idx="1">
                  <c:v>2021. godina</c:v>
                </c:pt>
                <c:pt idx="2">
                  <c:v>2022. godina</c:v>
                </c:pt>
                <c:pt idx="3">
                  <c:v>2023. godina</c:v>
                </c:pt>
                <c:pt idx="4">
                  <c:v>2024. godina</c:v>
                </c:pt>
              </c:strCache>
            </c:strRef>
          </c:cat>
          <c:val>
            <c:numRef>
              <c:f>List1!$B$2:$B$6</c:f>
              <c:numCache>
                <c:formatCode>#,##0.0000</c:formatCode>
                <c:ptCount val="5"/>
                <c:pt idx="0">
                  <c:v>-0.45600000000000002</c:v>
                </c:pt>
                <c:pt idx="1">
                  <c:v>-0.33979999999999999</c:v>
                </c:pt>
                <c:pt idx="2">
                  <c:v>-0.13289999999999999</c:v>
                </c:pt>
                <c:pt idx="3">
                  <c:v>5.4000000000000003E-3</c:v>
                </c:pt>
                <c:pt idx="4">
                  <c:v>4.9500000000000002E-2</c:v>
                </c:pt>
              </c:numCache>
            </c:numRef>
          </c:val>
          <c:extLst>
            <c:ext xmlns:c16="http://schemas.microsoft.com/office/drawing/2014/chart" uri="{C3380CC4-5D6E-409C-BE32-E72D297353CC}">
              <c16:uniqueId val="{00000000-7D04-492F-9FD1-D8ED1C8A9CC8}"/>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solidFill>
            <a:schemeClr val="bg1">
              <a:lumMod val="85000"/>
            </a:schemeClr>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Udio u ukupnom prihodu (%)</c:v>
                </c:pt>
              </c:strCache>
            </c:strRef>
          </c:tx>
          <c:dPt>
            <c:idx val="0"/>
            <c:bubble3D val="0"/>
            <c:spPr>
              <a:solidFill>
                <a:schemeClr val="tx1">
                  <a:lumMod val="65000"/>
                  <a:lumOff val="35000"/>
                </a:schemeClr>
              </a:solidFill>
              <a:ln>
                <a:noFill/>
              </a:ln>
              <a:effectLst/>
            </c:spPr>
            <c:extLst>
              <c:ext xmlns:c16="http://schemas.microsoft.com/office/drawing/2014/chart" uri="{C3380CC4-5D6E-409C-BE32-E72D297353CC}">
                <c16:uniqueId val="{00000001-3AC2-479A-A083-8DFA15EF8150}"/>
              </c:ext>
            </c:extLst>
          </c:dPt>
          <c:dPt>
            <c:idx val="1"/>
            <c:bubble3D val="0"/>
            <c:spPr>
              <a:solidFill>
                <a:schemeClr val="bg1">
                  <a:lumMod val="50000"/>
                </a:schemeClr>
              </a:solidFill>
              <a:ln>
                <a:noFill/>
              </a:ln>
              <a:effectLst/>
            </c:spPr>
            <c:extLst>
              <c:ext xmlns:c16="http://schemas.microsoft.com/office/drawing/2014/chart" uri="{C3380CC4-5D6E-409C-BE32-E72D297353CC}">
                <c16:uniqueId val="{00000003-3AC2-479A-A083-8DFA15EF8150}"/>
              </c:ext>
            </c:extLst>
          </c:dPt>
          <c:dPt>
            <c:idx val="2"/>
            <c:bubble3D val="0"/>
            <c:spPr>
              <a:solidFill>
                <a:schemeClr val="bg2">
                  <a:lumMod val="50000"/>
                </a:schemeClr>
              </a:solidFill>
              <a:ln>
                <a:noFill/>
              </a:ln>
              <a:effectLst/>
            </c:spPr>
            <c:extLst>
              <c:ext xmlns:c16="http://schemas.microsoft.com/office/drawing/2014/chart" uri="{C3380CC4-5D6E-409C-BE32-E72D297353CC}">
                <c16:uniqueId val="{00000005-3AC2-479A-A083-8DFA15EF8150}"/>
              </c:ext>
            </c:extLst>
          </c:dPt>
          <c:dPt>
            <c:idx val="3"/>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5400000" scaled="0"/>
              </a:gradFill>
              <a:ln>
                <a:noFill/>
              </a:ln>
              <a:effectLst/>
            </c:spPr>
            <c:extLst>
              <c:ext xmlns:c16="http://schemas.microsoft.com/office/drawing/2014/chart" uri="{C3380CC4-5D6E-409C-BE32-E72D297353CC}">
                <c16:uniqueId val="{00000007-3AC2-479A-A083-8DFA15EF8150}"/>
              </c:ext>
            </c:extLst>
          </c:dPt>
          <c:dLbls>
            <c:dLbl>
              <c:idx val="0"/>
              <c:layout>
                <c:manualLayout>
                  <c:x val="1.9255300581128277E-2"/>
                  <c:y val="-2.42467093126614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C2-479A-A083-8DFA15EF8150}"/>
                </c:ext>
              </c:extLst>
            </c:dLbl>
            <c:dLbl>
              <c:idx val="1"/>
              <c:layout>
                <c:manualLayout>
                  <c:x val="-1.1326647400663742E-2"/>
                  <c:y val="-1.4143913765719194E-2"/>
                </c:manualLayout>
              </c:layout>
              <c:spPr>
                <a:solidFill>
                  <a:schemeClr val="bg1">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C2-479A-A083-8DFA15EF8150}"/>
                </c:ext>
              </c:extLst>
            </c:dLbl>
            <c:dLbl>
              <c:idx val="2"/>
              <c:layout>
                <c:manualLayout>
                  <c:x val="-3.3979942201991221E-2"/>
                  <c:y val="-1.852157787321275E-17"/>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r>
                      <a:rPr lang="en-US"/>
                      <a:t>4,71%</a:t>
                    </a:r>
                  </a:p>
                </c:rich>
              </c:tx>
              <c:spPr>
                <a:solidFill>
                  <a:schemeClr val="bg2">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AC2-479A-A083-8DFA15EF8150}"/>
                </c:ext>
              </c:extLst>
            </c:dLbl>
            <c:dLbl>
              <c:idx val="3"/>
              <c:layout>
                <c:manualLayout>
                  <c:x val="4.3390601533132421E-2"/>
                  <c:y val="-8.2794547819268569E-3"/>
                </c:manualLayout>
              </c:layout>
              <c:spPr>
                <a:solidFill>
                  <a:schemeClr val="accent4">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C2-479A-A083-8DFA15EF8150}"/>
                </c:ext>
              </c:extLst>
            </c:dLbl>
            <c:dLbl>
              <c:idx val="4"/>
              <c:layout>
                <c:manualLayout>
                  <c:x val="-1.4724641620862865E-2"/>
                  <c:y val="-4.0411182187769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C2-479A-A083-8DFA15EF8150}"/>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PRIHOD-SEKTOR USLUGE ODRŽAVANJA GRADA</c:v>
                </c:pt>
                <c:pt idx="1">
                  <c:v>PRIHOD-SEKTOR JAVNE USLUGE</c:v>
                </c:pt>
                <c:pt idx="2">
                  <c:v>OSTALI POSLOVNI PRIHODI</c:v>
                </c:pt>
                <c:pt idx="3">
                  <c:v>FINANCIJSKI PRIHODI</c:v>
                </c:pt>
              </c:strCache>
            </c:strRef>
          </c:cat>
          <c:val>
            <c:numRef>
              <c:f>List1!$B$2:$B$5</c:f>
              <c:numCache>
                <c:formatCode>0.00%</c:formatCode>
                <c:ptCount val="4"/>
                <c:pt idx="0">
                  <c:v>0.713486315058385</c:v>
                </c:pt>
                <c:pt idx="1">
                  <c:v>0.23846494019887904</c:v>
                </c:pt>
                <c:pt idx="2">
                  <c:v>4.7160145832681521E-2</c:v>
                </c:pt>
                <c:pt idx="3">
                  <c:v>8.8859891005445702E-4</c:v>
                </c:pt>
              </c:numCache>
            </c:numRef>
          </c:val>
          <c:extLst>
            <c:ext xmlns:c16="http://schemas.microsoft.com/office/drawing/2014/chart" uri="{C3380CC4-5D6E-409C-BE32-E72D297353CC}">
              <c16:uniqueId val="{00000009-3AC2-479A-A083-8DFA15EF815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04417088437264E-4"/>
          <c:y val="0.89664333103263694"/>
          <c:w val="0.99919558291156274"/>
          <c:h val="0.10335666896736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RASHOD (Mil. €)</c:v>
                </c:pt>
              </c:strCache>
            </c:strRef>
          </c:tx>
          <c:spPr>
            <a:solidFill>
              <a:schemeClr val="tx1">
                <a:lumMod val="65000"/>
                <a:lumOff val="35000"/>
              </a:schemeClr>
            </a:solidFill>
            <a:ln>
              <a:noFill/>
            </a:ln>
            <a:effectLst/>
          </c:spPr>
          <c:invertIfNegative val="0"/>
          <c:dLbls>
            <c:dLbl>
              <c:idx val="4"/>
              <c:layout>
                <c:manualLayout>
                  <c:x val="-1.1326647400663741E-3"/>
                  <c:y val="0"/>
                </c:manualLayout>
              </c:layout>
              <c:tx>
                <c:rich>
                  <a:bodyPr/>
                  <a:lstStyle/>
                  <a:p>
                    <a:r>
                      <a:rPr lang="en-US"/>
                      <a:t>0,368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45B-4416-83D4-3574375EC8E3}"/>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List1!$A$2:$A$8</c:f>
              <c:strCache>
                <c:ptCount val="7"/>
                <c:pt idx="0">
                  <c:v>TROŠKOVI SIROVINA I MATERIJALA </c:v>
                </c:pt>
                <c:pt idx="1">
                  <c:v>OSTALI VANJSKI TROŠKOVI POSLOVANJA</c:v>
                </c:pt>
                <c:pt idx="2">
                  <c:v>OSTALI TROŠKOVI POSLOVANJA</c:v>
                </c:pt>
                <c:pt idx="3">
                  <c:v>TROŠKOVI OSOBLJA</c:v>
                </c:pt>
                <c:pt idx="4">
                  <c:v>RASHODI POSLOVANJA</c:v>
                </c:pt>
                <c:pt idx="5">
                  <c:v>AMORTIZACIJA</c:v>
                </c:pt>
                <c:pt idx="6">
                  <c:v>REZERVIRANJA TROŠKOVA I RIZIKA</c:v>
                </c:pt>
              </c:strCache>
            </c:strRef>
          </c:cat>
          <c:val>
            <c:numRef>
              <c:f>List1!$B$2:$B$8</c:f>
              <c:numCache>
                <c:formatCode>#,##0.000</c:formatCode>
                <c:ptCount val="7"/>
                <c:pt idx="0">
                  <c:v>1.9319999999999999</c:v>
                </c:pt>
                <c:pt idx="1">
                  <c:v>6.8780000000000001</c:v>
                </c:pt>
                <c:pt idx="2">
                  <c:v>1.155</c:v>
                </c:pt>
                <c:pt idx="3">
                  <c:v>5.0179999999999998</c:v>
                </c:pt>
                <c:pt idx="4">
                  <c:v>0.374</c:v>
                </c:pt>
                <c:pt idx="5">
                  <c:v>0.97</c:v>
                </c:pt>
                <c:pt idx="6">
                  <c:v>2.1999999999999999E-2</c:v>
                </c:pt>
              </c:numCache>
            </c:numRef>
          </c:val>
          <c:extLst>
            <c:ext xmlns:c16="http://schemas.microsoft.com/office/drawing/2014/chart" uri="{C3380CC4-5D6E-409C-BE32-E72D297353CC}">
              <c16:uniqueId val="{00000001-545B-4416-83D4-3574375EC8E3}"/>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Udio u ukupnom rashodu (%)</c:v>
                </c:pt>
              </c:strCache>
            </c:strRef>
          </c:tx>
          <c:dPt>
            <c:idx val="0"/>
            <c:bubble3D val="0"/>
            <c:spPr>
              <a:solidFill>
                <a:schemeClr val="tx1">
                  <a:lumMod val="65000"/>
                  <a:lumOff val="35000"/>
                </a:schemeClr>
              </a:solidFill>
              <a:ln>
                <a:noFill/>
              </a:ln>
              <a:effectLst/>
            </c:spPr>
            <c:extLst>
              <c:ext xmlns:c16="http://schemas.microsoft.com/office/drawing/2014/chart" uri="{C3380CC4-5D6E-409C-BE32-E72D297353CC}">
                <c16:uniqueId val="{00000001-E5C5-4677-B4DC-7EFB9AB1601E}"/>
              </c:ext>
            </c:extLst>
          </c:dPt>
          <c:dPt>
            <c:idx val="1"/>
            <c:bubble3D val="0"/>
            <c:spPr>
              <a:solidFill>
                <a:schemeClr val="tx1">
                  <a:lumMod val="95000"/>
                  <a:lumOff val="5000"/>
                </a:schemeClr>
              </a:solidFill>
              <a:ln>
                <a:noFill/>
              </a:ln>
              <a:effectLst/>
            </c:spPr>
            <c:extLst>
              <c:ext xmlns:c16="http://schemas.microsoft.com/office/drawing/2014/chart" uri="{C3380CC4-5D6E-409C-BE32-E72D297353CC}">
                <c16:uniqueId val="{00000003-E5C5-4677-B4DC-7EFB9AB1601E}"/>
              </c:ext>
            </c:extLst>
          </c:dPt>
          <c:dPt>
            <c:idx val="2"/>
            <c:bubble3D val="0"/>
            <c:spPr>
              <a:solidFill>
                <a:schemeClr val="bg1">
                  <a:lumMod val="65000"/>
                </a:schemeClr>
              </a:solidFill>
              <a:ln>
                <a:noFill/>
              </a:ln>
              <a:effectLst/>
            </c:spPr>
            <c:extLst>
              <c:ext xmlns:c16="http://schemas.microsoft.com/office/drawing/2014/chart" uri="{C3380CC4-5D6E-409C-BE32-E72D297353CC}">
                <c16:uniqueId val="{00000005-E5C5-4677-B4DC-7EFB9AB1601E}"/>
              </c:ext>
            </c:extLst>
          </c:dPt>
          <c:dPt>
            <c:idx val="3"/>
            <c:bubble3D val="0"/>
            <c:spPr>
              <a:solidFill>
                <a:schemeClr val="accent2">
                  <a:lumMod val="50000"/>
                </a:schemeClr>
              </a:solidFill>
              <a:ln>
                <a:noFill/>
              </a:ln>
              <a:effectLst/>
            </c:spPr>
            <c:extLst>
              <c:ext xmlns:c16="http://schemas.microsoft.com/office/drawing/2014/chart" uri="{C3380CC4-5D6E-409C-BE32-E72D297353CC}">
                <c16:uniqueId val="{00000007-E5C5-4677-B4DC-7EFB9AB1601E}"/>
              </c:ext>
            </c:extLst>
          </c:dPt>
          <c:dPt>
            <c:idx val="4"/>
            <c:bubble3D val="0"/>
            <c:spPr>
              <a:solidFill>
                <a:schemeClr val="accent3">
                  <a:lumMod val="75000"/>
                </a:schemeClr>
              </a:solidFill>
              <a:ln>
                <a:noFill/>
              </a:ln>
              <a:effectLst/>
            </c:spPr>
            <c:extLst>
              <c:ext xmlns:c16="http://schemas.microsoft.com/office/drawing/2014/chart" uri="{C3380CC4-5D6E-409C-BE32-E72D297353CC}">
                <c16:uniqueId val="{00000009-E5C5-4677-B4DC-7EFB9AB1601E}"/>
              </c:ext>
            </c:extLst>
          </c:dPt>
          <c:dPt>
            <c:idx val="5"/>
            <c:bubble3D val="0"/>
            <c:spPr>
              <a:solidFill>
                <a:schemeClr val="accent6">
                  <a:lumMod val="50000"/>
                </a:schemeClr>
              </a:solidFill>
              <a:ln>
                <a:noFill/>
              </a:ln>
              <a:effectLst/>
            </c:spPr>
            <c:extLst>
              <c:ext xmlns:c16="http://schemas.microsoft.com/office/drawing/2014/chart" uri="{C3380CC4-5D6E-409C-BE32-E72D297353CC}">
                <c16:uniqueId val="{0000000B-E5C5-4677-B4DC-7EFB9AB1601E}"/>
              </c:ext>
            </c:extLst>
          </c:dPt>
          <c:dPt>
            <c:idx val="6"/>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5400000" scaled="0"/>
              </a:gradFill>
              <a:ln>
                <a:noFill/>
              </a:ln>
              <a:effectLst/>
            </c:spPr>
            <c:extLst>
              <c:ext xmlns:c16="http://schemas.microsoft.com/office/drawing/2014/chart" uri="{C3380CC4-5D6E-409C-BE32-E72D297353CC}">
                <c16:uniqueId val="{0000000D-E5C5-4677-B4DC-7EFB9AB1601E}"/>
              </c:ext>
            </c:extLst>
          </c:dPt>
          <c:dLbls>
            <c:dLbl>
              <c:idx val="0"/>
              <c:layout>
                <c:manualLayout>
                  <c:x val="4.7921242479750673E-2"/>
                  <c:y val="3.8431291594168706E-3"/>
                </c:manualLayout>
              </c:layout>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C5-4677-B4DC-7EFB9AB1601E}"/>
                </c:ext>
              </c:extLst>
            </c:dLbl>
            <c:dLbl>
              <c:idx val="1"/>
              <c:layout>
                <c:manualLayout>
                  <c:x val="8.5190426169163835E-3"/>
                  <c:y val="4.6177975407857112E-3"/>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r>
                      <a:rPr lang="en-US"/>
                      <a:t>42,08%</a:t>
                    </a:r>
                  </a:p>
                </c:rich>
              </c:tx>
              <c:spPr>
                <a:solidFill>
                  <a:schemeClr val="tx1">
                    <a:lumMod val="95000"/>
                    <a:lumOff val="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5C5-4677-B4DC-7EFB9AB1601E}"/>
                </c:ext>
              </c:extLst>
            </c:dLbl>
            <c:dLbl>
              <c:idx val="2"/>
              <c:layout>
                <c:manualLayout>
                  <c:x val="-3.3979942201991221E-2"/>
                  <c:y val="-1.852157787321275E-17"/>
                </c:manualLayout>
              </c:layout>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C5-4677-B4DC-7EFB9AB1601E}"/>
                </c:ext>
              </c:extLst>
            </c:dLbl>
            <c:dLbl>
              <c:idx val="3"/>
              <c:layout>
                <c:manualLayout>
                  <c:x val="-3.3979942201991221E-2"/>
                  <c:y val="-1.8185031984496107E-2"/>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r>
                      <a:rPr lang="en-US"/>
                      <a:t>30,70%</a:t>
                    </a:r>
                  </a:p>
                </c:rich>
              </c:tx>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5C5-4677-B4DC-7EFB9AB1601E}"/>
                </c:ext>
              </c:extLst>
            </c:dLbl>
            <c:dLbl>
              <c:idx val="4"/>
              <c:layout>
                <c:manualLayout>
                  <c:x val="-8.2961393883096521E-2"/>
                  <c:y val="4.8047965617843573E-2"/>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r>
                      <a:rPr lang="en-US"/>
                      <a:t>2,25%</a:t>
                    </a:r>
                  </a:p>
                </c:rich>
              </c:tx>
              <c:spPr>
                <a:solidFill>
                  <a:schemeClr val="accent3">
                    <a:lumMod val="7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5C5-4677-B4DC-7EFB9AB1601E}"/>
                </c:ext>
              </c:extLst>
            </c:dLbl>
            <c:dLbl>
              <c:idx val="5"/>
              <c:layout>
                <c:manualLayout>
                  <c:x val="-4.8800666730330115E-2"/>
                  <c:y val="-4.0413150547416654E-3"/>
                </c:manualLayout>
              </c:layout>
              <c:spPr>
                <a:solidFill>
                  <a:schemeClr val="accent6">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C5-4677-B4DC-7EFB9AB1601E}"/>
                </c:ext>
              </c:extLst>
            </c:dLbl>
            <c:dLbl>
              <c:idx val="6"/>
              <c:layout>
                <c:manualLayout>
                  <c:x val="4.1896361631753032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C5-4677-B4DC-7EFB9AB1601E}"/>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List1!$A$2:$A$8</c:f>
              <c:strCache>
                <c:ptCount val="7"/>
                <c:pt idx="0">
                  <c:v>TROŠKOVI SIROVINA I MATERIJALA </c:v>
                </c:pt>
                <c:pt idx="1">
                  <c:v>OSTALI VANJSKI TROŠKOVI POSLOVANJA</c:v>
                </c:pt>
                <c:pt idx="2">
                  <c:v>OSTALI TROŠKOVI POSLOVANJA</c:v>
                </c:pt>
                <c:pt idx="3">
                  <c:v>TROŠKOVI OSOBLJA</c:v>
                </c:pt>
                <c:pt idx="4">
                  <c:v>RASHODI POSLOVANJA</c:v>
                </c:pt>
                <c:pt idx="5">
                  <c:v>AMORTIZACIJA</c:v>
                </c:pt>
                <c:pt idx="6">
                  <c:v>REZERVIRANJA TROŠKOVA I RIZIKA</c:v>
                </c:pt>
              </c:strCache>
            </c:strRef>
          </c:cat>
          <c:val>
            <c:numRef>
              <c:f>List1!$B$2:$B$8</c:f>
              <c:numCache>
                <c:formatCode>0.00%</c:formatCode>
                <c:ptCount val="7"/>
                <c:pt idx="0">
                  <c:v>0.11817466590631465</c:v>
                </c:pt>
                <c:pt idx="1">
                  <c:v>0.42062930851283398</c:v>
                </c:pt>
                <c:pt idx="2">
                  <c:v>7.0674761459937036E-2</c:v>
                </c:pt>
                <c:pt idx="3">
                  <c:v>0.30692551251140909</c:v>
                </c:pt>
                <c:pt idx="4">
                  <c:v>2.2888226723519797E-2</c:v>
                </c:pt>
                <c:pt idx="5">
                  <c:v>5.9378809722925072E-2</c:v>
                </c:pt>
                <c:pt idx="6">
                  <c:v>1.3286998744807617E-3</c:v>
                </c:pt>
              </c:numCache>
            </c:numRef>
          </c:val>
          <c:extLst>
            <c:ext xmlns:c16="http://schemas.microsoft.com/office/drawing/2014/chart" uri="{C3380CC4-5D6E-409C-BE32-E72D297353CC}">
              <c16:uniqueId val="{0000000E-E5C5-4677-B4DC-7EFB9AB1601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1327644132686282E-3"/>
          <c:y val="0.85771742181383048"/>
          <c:w val="0.99593954283829189"/>
          <c:h val="0.142282578186169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73839422208988E-2"/>
          <c:y val="8.0135374278346175E-2"/>
          <c:w val="0.93389750739732635"/>
          <c:h val="0.79933270637664589"/>
        </c:manualLayout>
      </c:layout>
      <c:barChart>
        <c:barDir val="col"/>
        <c:grouping val="clustered"/>
        <c:varyColors val="0"/>
        <c:ser>
          <c:idx val="0"/>
          <c:order val="0"/>
          <c:tx>
            <c:strRef>
              <c:f>List1!$B$1</c:f>
              <c:strCache>
                <c:ptCount val="1"/>
                <c:pt idx="0">
                  <c:v>BROJ ZAPOSLENIH</c:v>
                </c:pt>
              </c:strCache>
            </c:strRef>
          </c:tx>
          <c:spPr>
            <a:solidFill>
              <a:schemeClr val="tx1">
                <a:lumMod val="65000"/>
                <a:lumOff val="35000"/>
              </a:schemeClr>
            </a:solidFill>
            <a:ln>
              <a:noFill/>
            </a:ln>
            <a:effectLst/>
          </c:spPr>
          <c:invertIfNegative val="0"/>
          <c:dLbls>
            <c:dLbl>
              <c:idx val="0"/>
              <c:layout>
                <c:manualLayout>
                  <c:x val="0"/>
                  <c:y val="-2.02055910938845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AC-42AB-A8CF-7D30B535A306}"/>
                </c:ext>
              </c:extLst>
            </c:dLbl>
            <c:dLbl>
              <c:idx val="4"/>
              <c:layout>
                <c:manualLayout>
                  <c:x val="-1.1326647400664571E-3"/>
                  <c:y val="-3.70431557464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AC-42AB-A8CF-7D30B535A306}"/>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AC-42AB-A8CF-7D30B535A306}"/>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AC-42AB-A8CF-7D30B535A306}"/>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AC-42AB-A8CF-7D30B535A306}"/>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2"/>
                <c:pt idx="0">
                  <c:v>OPERATIVNI RADNICI</c:v>
                </c:pt>
                <c:pt idx="1">
                  <c:v>ADMINISTRATIVNI RADNICI</c:v>
                </c:pt>
              </c:strCache>
            </c:strRef>
          </c:cat>
          <c:val>
            <c:numRef>
              <c:f>List1!$B$2:$B$3</c:f>
              <c:numCache>
                <c:formatCode>#,##0</c:formatCode>
                <c:ptCount val="2"/>
                <c:pt idx="0">
                  <c:v>189</c:v>
                </c:pt>
                <c:pt idx="1">
                  <c:v>54</c:v>
                </c:pt>
              </c:numCache>
            </c:numRef>
          </c:val>
          <c:extLst>
            <c:ext xmlns:c16="http://schemas.microsoft.com/office/drawing/2014/chart" uri="{C3380CC4-5D6E-409C-BE32-E72D297353CC}">
              <c16:uniqueId val="{00000005-3EAC-42AB-A8CF-7D30B535A306}"/>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layout>
        <c:manualLayout>
          <c:xMode val="edge"/>
          <c:yMode val="edge"/>
          <c:x val="0.3901160701108613"/>
          <c:y val="0.93338716529613397"/>
          <c:w val="0.23961350476173945"/>
          <c:h val="6.661276715410573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73839422208988E-2"/>
          <c:y val="8.0135374278346175E-2"/>
          <c:w val="0.93389750739732635"/>
          <c:h val="0.79933270637664589"/>
        </c:manualLayout>
      </c:layout>
      <c:pieChart>
        <c:varyColors val="1"/>
        <c:ser>
          <c:idx val="0"/>
          <c:order val="0"/>
          <c:tx>
            <c:strRef>
              <c:f>List1!$B$1</c:f>
              <c:strCache>
                <c:ptCount val="1"/>
                <c:pt idx="0">
                  <c:v>BROJ ZAPOSLENIH</c:v>
                </c:pt>
              </c:strCache>
            </c:strRef>
          </c:tx>
          <c:spPr>
            <a:solidFill>
              <a:schemeClr val="accent1"/>
            </a:solidFill>
          </c:spPr>
          <c:dPt>
            <c:idx val="0"/>
            <c:bubble3D val="0"/>
            <c:spPr>
              <a:solidFill>
                <a:schemeClr val="tx1">
                  <a:lumMod val="65000"/>
                  <a:lumOff val="35000"/>
                </a:schemeClr>
              </a:solidFill>
              <a:ln>
                <a:noFill/>
              </a:ln>
              <a:effectLst/>
            </c:spPr>
            <c:extLst>
              <c:ext xmlns:c16="http://schemas.microsoft.com/office/drawing/2014/chart" uri="{C3380CC4-5D6E-409C-BE32-E72D297353CC}">
                <c16:uniqueId val="{00000001-FA8E-4266-B8E5-2CBE647EC3A6}"/>
              </c:ext>
            </c:extLst>
          </c:dPt>
          <c:dPt>
            <c:idx val="1"/>
            <c:bubble3D val="0"/>
            <c:spPr>
              <a:solidFill>
                <a:schemeClr val="bg1">
                  <a:lumMod val="75000"/>
                </a:schemeClr>
              </a:solidFill>
              <a:ln>
                <a:noFill/>
              </a:ln>
              <a:effectLst/>
            </c:spPr>
            <c:extLst>
              <c:ext xmlns:c16="http://schemas.microsoft.com/office/drawing/2014/chart" uri="{C3380CC4-5D6E-409C-BE32-E72D297353CC}">
                <c16:uniqueId val="{00000003-FA8E-4266-B8E5-2CBE647EC3A6}"/>
              </c:ext>
            </c:extLst>
          </c:dPt>
          <c:dLbls>
            <c:dLbl>
              <c:idx val="0"/>
              <c:layout>
                <c:manualLayout>
                  <c:x val="0"/>
                  <c:y val="-2.0205591093884565E-3"/>
                </c:manualLayout>
              </c:layout>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8E-4266-B8E5-2CBE647EC3A6}"/>
                </c:ext>
              </c:extLst>
            </c:dLbl>
            <c:dLbl>
              <c:idx val="1"/>
              <c:layout>
                <c:manualLayout>
                  <c:x val="-4.5306589602654964E-3"/>
                  <c:y val="-1.6164472875107687E-2"/>
                </c:manualLayout>
              </c:layout>
              <c:spPr>
                <a:solidFill>
                  <a:schemeClr val="bg1">
                    <a:lumMod val="7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8E-4266-B8E5-2CBE647EC3A6}"/>
                </c:ext>
              </c:extLst>
            </c:dLbl>
            <c:dLbl>
              <c:idx val="4"/>
              <c:layout>
                <c:manualLayout>
                  <c:x val="-1.1326647400664571E-3"/>
                  <c:y val="-3.70431557464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8E-4266-B8E5-2CBE647EC3A6}"/>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8E-4266-B8E5-2CBE647EC3A6}"/>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8E-4266-B8E5-2CBE647EC3A6}"/>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8E-4266-B8E5-2CBE647EC3A6}"/>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List1!$A$2:$A$3</c:f>
              <c:strCache>
                <c:ptCount val="2"/>
                <c:pt idx="0">
                  <c:v>OPERATIVNI RADNICI</c:v>
                </c:pt>
                <c:pt idx="1">
                  <c:v>ADMINISTRATIVNI RADNICI</c:v>
                </c:pt>
              </c:strCache>
            </c:strRef>
          </c:cat>
          <c:val>
            <c:numRef>
              <c:f>List1!$B$2:$B$3</c:f>
              <c:numCache>
                <c:formatCode>0.00%</c:formatCode>
                <c:ptCount val="2"/>
                <c:pt idx="0">
                  <c:v>0.77777777777777779</c:v>
                </c:pt>
                <c:pt idx="1">
                  <c:v>0.22222222222222221</c:v>
                </c:pt>
              </c:numCache>
            </c:numRef>
          </c:val>
          <c:extLst>
            <c:ext xmlns:c16="http://schemas.microsoft.com/office/drawing/2014/chart" uri="{C3380CC4-5D6E-409C-BE32-E72D297353CC}">
              <c16:uniqueId val="{00000008-FA8E-4266-B8E5-2CBE647EC3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73839422208988E-2"/>
          <c:y val="8.0135374278346175E-2"/>
          <c:w val="0.93389750739732635"/>
          <c:h val="0.79933270637664589"/>
        </c:manualLayout>
      </c:layout>
      <c:barChart>
        <c:barDir val="col"/>
        <c:grouping val="clustered"/>
        <c:varyColors val="0"/>
        <c:ser>
          <c:idx val="0"/>
          <c:order val="0"/>
          <c:tx>
            <c:strRef>
              <c:f>List1!$B$1</c:f>
              <c:strCache>
                <c:ptCount val="1"/>
                <c:pt idx="0">
                  <c:v>BROJ ZAPOSLENIH </c:v>
                </c:pt>
              </c:strCache>
            </c:strRef>
          </c:tx>
          <c:spPr>
            <a:solidFill>
              <a:schemeClr val="tx1">
                <a:lumMod val="65000"/>
                <a:lumOff val="35000"/>
              </a:schemeClr>
            </a:solidFill>
            <a:ln>
              <a:noFill/>
            </a:ln>
            <a:effectLst/>
          </c:spPr>
          <c:invertIfNegative val="0"/>
          <c:dLbls>
            <c:dLbl>
              <c:idx val="0"/>
              <c:layout>
                <c:manualLayout>
                  <c:x val="0"/>
                  <c:y val="-2.02055910938845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76-40E0-A439-421E717B6A5F}"/>
                </c:ext>
              </c:extLst>
            </c:dLbl>
            <c:dLbl>
              <c:idx val="4"/>
              <c:layout>
                <c:manualLayout>
                  <c:x val="-1.1326647400664571E-3"/>
                  <c:y val="-3.70431557464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6-40E0-A439-421E717B6A5F}"/>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76-40E0-A439-421E717B6A5F}"/>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76-40E0-A439-421E717B6A5F}"/>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76-40E0-A439-421E717B6A5F}"/>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List1!$A$2:$A$5</c:f>
              <c:strCache>
                <c:ptCount val="4"/>
                <c:pt idx="0">
                  <c:v>VSS/300 ECTS bodova</c:v>
                </c:pt>
                <c:pt idx="1">
                  <c:v>VŠS/180 ECTS bodova</c:v>
                </c:pt>
                <c:pt idx="2">
                  <c:v>SSS</c:v>
                </c:pt>
                <c:pt idx="3">
                  <c:v>NKV</c:v>
                </c:pt>
              </c:strCache>
            </c:strRef>
          </c:cat>
          <c:val>
            <c:numRef>
              <c:f>List1!$B$2:$B$5</c:f>
              <c:numCache>
                <c:formatCode>#,##0</c:formatCode>
                <c:ptCount val="4"/>
                <c:pt idx="0">
                  <c:v>25</c:v>
                </c:pt>
                <c:pt idx="1">
                  <c:v>8</c:v>
                </c:pt>
                <c:pt idx="2">
                  <c:v>153</c:v>
                </c:pt>
                <c:pt idx="3">
                  <c:v>57</c:v>
                </c:pt>
              </c:numCache>
            </c:numRef>
          </c:val>
          <c:extLst>
            <c:ext xmlns:c16="http://schemas.microsoft.com/office/drawing/2014/chart" uri="{C3380CC4-5D6E-409C-BE32-E72D297353CC}">
              <c16:uniqueId val="{00000005-1876-40E0-A439-421E717B6A5F}"/>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layout>
        <c:manualLayout>
          <c:xMode val="edge"/>
          <c:yMode val="edge"/>
          <c:x val="0.33304360659437965"/>
          <c:y val="0.91387204724409443"/>
          <c:w val="0.36478361649115804"/>
          <c:h val="8.61276810095707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73839422208988E-2"/>
          <c:y val="8.0135374278346175E-2"/>
          <c:w val="0.93389750739732635"/>
          <c:h val="0.79933270637664589"/>
        </c:manualLayout>
      </c:layout>
      <c:pieChart>
        <c:varyColors val="1"/>
        <c:ser>
          <c:idx val="0"/>
          <c:order val="0"/>
          <c:tx>
            <c:strRef>
              <c:f>List1!$B$1</c:f>
              <c:strCache>
                <c:ptCount val="1"/>
                <c:pt idx="0">
                  <c:v>BROJ ZAPOSLENIH</c:v>
                </c:pt>
              </c:strCache>
            </c:strRef>
          </c:tx>
          <c:spPr>
            <a:solidFill>
              <a:schemeClr val="accent1"/>
            </a:solidFill>
          </c:spPr>
          <c:dPt>
            <c:idx val="0"/>
            <c:bubble3D val="0"/>
            <c:spPr>
              <a:solidFill>
                <a:schemeClr val="tx1">
                  <a:lumMod val="65000"/>
                  <a:lumOff val="35000"/>
                </a:schemeClr>
              </a:solidFill>
              <a:ln>
                <a:noFill/>
              </a:ln>
              <a:effectLst/>
            </c:spPr>
            <c:extLst>
              <c:ext xmlns:c16="http://schemas.microsoft.com/office/drawing/2014/chart" uri="{C3380CC4-5D6E-409C-BE32-E72D297353CC}">
                <c16:uniqueId val="{00000001-2F0D-44E8-A88E-C3D730DE62FE}"/>
              </c:ext>
            </c:extLst>
          </c:dPt>
          <c:dPt>
            <c:idx val="1"/>
            <c:bubble3D val="0"/>
            <c:spPr>
              <a:solidFill>
                <a:schemeClr val="bg1">
                  <a:lumMod val="75000"/>
                </a:schemeClr>
              </a:solidFill>
              <a:ln>
                <a:noFill/>
              </a:ln>
              <a:effectLst/>
            </c:spPr>
            <c:extLst>
              <c:ext xmlns:c16="http://schemas.microsoft.com/office/drawing/2014/chart" uri="{C3380CC4-5D6E-409C-BE32-E72D297353CC}">
                <c16:uniqueId val="{00000003-2F0D-44E8-A88E-C3D730DE62FE}"/>
              </c:ext>
            </c:extLst>
          </c:dPt>
          <c:dPt>
            <c:idx val="2"/>
            <c:bubble3D val="0"/>
            <c:spPr>
              <a:solidFill>
                <a:schemeClr val="bg2">
                  <a:lumMod val="50000"/>
                </a:schemeClr>
              </a:solidFill>
              <a:ln>
                <a:noFill/>
              </a:ln>
              <a:effectLst/>
            </c:spPr>
            <c:extLst>
              <c:ext xmlns:c16="http://schemas.microsoft.com/office/drawing/2014/chart" uri="{C3380CC4-5D6E-409C-BE32-E72D297353CC}">
                <c16:uniqueId val="{00000005-2F0D-44E8-A88E-C3D730DE62FE}"/>
              </c:ext>
            </c:extLst>
          </c:dPt>
          <c:dPt>
            <c:idx val="3"/>
            <c:bubble3D val="0"/>
            <c:spPr>
              <a:solidFill>
                <a:schemeClr val="accent1">
                  <a:lumMod val="75000"/>
                </a:schemeClr>
              </a:solidFill>
              <a:ln>
                <a:noFill/>
              </a:ln>
              <a:effectLst/>
            </c:spPr>
            <c:extLst>
              <c:ext xmlns:c16="http://schemas.microsoft.com/office/drawing/2014/chart" uri="{C3380CC4-5D6E-409C-BE32-E72D297353CC}">
                <c16:uniqueId val="{00000007-2F0D-44E8-A88E-C3D730DE62FE}"/>
              </c:ext>
            </c:extLst>
          </c:dPt>
          <c:dLbls>
            <c:dLbl>
              <c:idx val="0"/>
              <c:layout>
                <c:manualLayout>
                  <c:x val="0"/>
                  <c:y val="-2.0205591093884565E-3"/>
                </c:manualLayout>
              </c:layout>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0D-44E8-A88E-C3D730DE62FE}"/>
                </c:ext>
              </c:extLst>
            </c:dLbl>
            <c:dLbl>
              <c:idx val="1"/>
              <c:layout>
                <c:manualLayout>
                  <c:x val="3.2955577355476572E-2"/>
                  <c:y val="5.0725076589506576E-2"/>
                </c:manualLayout>
              </c:layout>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0D-44E8-A88E-C3D730DE62FE}"/>
                </c:ext>
              </c:extLst>
            </c:dLbl>
            <c:dLbl>
              <c:idx val="2"/>
              <c:layout>
                <c:manualLayout>
                  <c:x val="0.15214994487320821"/>
                  <c:y val="-0.10091145833333345"/>
                </c:manualLayout>
              </c:layout>
              <c:spPr>
                <a:solidFill>
                  <a:schemeClr val="bg2">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0D-44E8-A88E-C3D730DE62FE}"/>
                </c:ext>
              </c:extLst>
            </c:dLbl>
            <c:dLbl>
              <c:idx val="3"/>
              <c:layout>
                <c:manualLayout>
                  <c:x val="-2.4255788313120218E-2"/>
                  <c:y val="1.1148272017837236E-2"/>
                </c:manualLayout>
              </c:layout>
              <c:spPr>
                <a:solidFill>
                  <a:schemeClr val="accent2"/>
                </a:solid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0D-44E8-A88E-C3D730DE62FE}"/>
                </c:ext>
              </c:extLst>
            </c:dLbl>
            <c:dLbl>
              <c:idx val="4"/>
              <c:layout>
                <c:manualLayout>
                  <c:x val="-1.1326647400664571E-3"/>
                  <c:y val="-3.70431557464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0D-44E8-A88E-C3D730DE62FE}"/>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0D-44E8-A88E-C3D730DE62FE}"/>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0D-44E8-A88E-C3D730DE62FE}"/>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0D-44E8-A88E-C3D730DE62FE}"/>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VSS/300 ECTS bodova</c:v>
                </c:pt>
                <c:pt idx="1">
                  <c:v>VŠS/180 ECTS bodova</c:v>
                </c:pt>
                <c:pt idx="2">
                  <c:v>SSS</c:v>
                </c:pt>
                <c:pt idx="3">
                  <c:v>NKV</c:v>
                </c:pt>
              </c:strCache>
            </c:strRef>
          </c:cat>
          <c:val>
            <c:numRef>
              <c:f>List1!$B$2:$B$5</c:f>
              <c:numCache>
                <c:formatCode>0.00%</c:formatCode>
                <c:ptCount val="4"/>
                <c:pt idx="0">
                  <c:v>0.102880658436214</c:v>
                </c:pt>
                <c:pt idx="1">
                  <c:v>3.292181069958848E-2</c:v>
                </c:pt>
                <c:pt idx="2">
                  <c:v>0.62962962962962965</c:v>
                </c:pt>
                <c:pt idx="3">
                  <c:v>0.23456790123456789</c:v>
                </c:pt>
              </c:numCache>
            </c:numRef>
          </c:val>
          <c:extLst>
            <c:ext xmlns:c16="http://schemas.microsoft.com/office/drawing/2014/chart" uri="{C3380CC4-5D6E-409C-BE32-E72D297353CC}">
              <c16:uniqueId val="{0000000C-2F0D-44E8-A88E-C3D730DE62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02492602673604E-2"/>
          <c:y val="5.1847546746907787E-2"/>
          <c:w val="0.93389750739732635"/>
          <c:h val="0.79933270637664589"/>
        </c:manualLayout>
      </c:layout>
      <c:barChart>
        <c:barDir val="col"/>
        <c:grouping val="clustered"/>
        <c:varyColors val="0"/>
        <c:ser>
          <c:idx val="0"/>
          <c:order val="0"/>
          <c:tx>
            <c:strRef>
              <c:f>List1!$B$1</c:f>
              <c:strCache>
                <c:ptCount val="1"/>
                <c:pt idx="0">
                  <c:v>SEKTOR USLUGE ODRŽAVANJA GRADA</c:v>
                </c:pt>
              </c:strCache>
            </c:strRef>
          </c:tx>
          <c:spPr>
            <a:solidFill>
              <a:schemeClr val="tx1">
                <a:lumMod val="50000"/>
                <a:lumOff val="50000"/>
              </a:schemeClr>
            </a:solidFill>
            <a:ln>
              <a:noFill/>
            </a:ln>
            <a:effectLst/>
          </c:spPr>
          <c:invertIfNegative val="0"/>
          <c:dLbls>
            <c:dLbl>
              <c:idx val="0"/>
              <c:layout>
                <c:manualLayout>
                  <c:x val="0"/>
                  <c:y val="-2.0205591093884565E-3"/>
                </c:manualLayout>
              </c:layout>
              <c:spPr>
                <a:solidFill>
                  <a:schemeClr val="tx1">
                    <a:lumMod val="50000"/>
                    <a:lumOff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66-47C9-8F1A-C8B4A16D8288}"/>
                </c:ext>
              </c:extLst>
            </c:dLbl>
            <c:dLbl>
              <c:idx val="2"/>
              <c:layout>
                <c:manualLayout>
                  <c:x val="-1.1326647400663741E-3"/>
                  <c:y val="-7.4086311492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6-47C9-8F1A-C8B4A16D8288}"/>
                </c:ext>
              </c:extLst>
            </c:dLbl>
            <c:dLbl>
              <c:idx val="4"/>
              <c:layout>
                <c:manualLayout>
                  <c:x val="-1.1326647400664571E-3"/>
                  <c:y val="-3.70431557464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66-47C9-8F1A-C8B4A16D8288}"/>
                </c:ext>
              </c:extLst>
            </c:dLbl>
            <c:dLbl>
              <c:idx val="5"/>
              <c:layout>
                <c:manualLayout>
                  <c:x val="-4.5306589602654964E-3"/>
                  <c:y val="-2.0205591093884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66-47C9-8F1A-C8B4A16D8288}"/>
                </c:ext>
              </c:extLst>
            </c:dLbl>
            <c:dLbl>
              <c:idx val="6"/>
              <c:layout>
                <c:manualLayout>
                  <c:x val="-1.472464162086303E-2"/>
                  <c:y val="-2.222615020327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66-47C9-8F1A-C8B4A16D8288}"/>
                </c:ext>
              </c:extLst>
            </c:dLbl>
            <c:dLbl>
              <c:idx val="7"/>
              <c:layout>
                <c:manualLayout>
                  <c:x val="-1.359197688079649E-2"/>
                  <c:y val="-1.818503198449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66-47C9-8F1A-C8B4A16D8288}"/>
                </c:ext>
              </c:extLst>
            </c:dLbl>
            <c:spPr>
              <a:solidFill>
                <a:schemeClr val="tx1">
                  <a:lumMod val="50000"/>
                  <a:lumOff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c:f>
              <c:strCache>
                <c:ptCount val="1"/>
                <c:pt idx="0">
                  <c:v>BROJ ZAPOSLENIH</c:v>
                </c:pt>
              </c:strCache>
            </c:strRef>
          </c:cat>
          <c:val>
            <c:numRef>
              <c:f>List1!$B$2</c:f>
              <c:numCache>
                <c:formatCode>#,##0</c:formatCode>
                <c:ptCount val="1"/>
                <c:pt idx="0">
                  <c:v>106</c:v>
                </c:pt>
              </c:numCache>
            </c:numRef>
          </c:val>
          <c:extLst>
            <c:ext xmlns:c16="http://schemas.microsoft.com/office/drawing/2014/chart" uri="{C3380CC4-5D6E-409C-BE32-E72D297353CC}">
              <c16:uniqueId val="{00000006-2A66-47C9-8F1A-C8B4A16D8288}"/>
            </c:ext>
          </c:extLst>
        </c:ser>
        <c:ser>
          <c:idx val="1"/>
          <c:order val="1"/>
          <c:tx>
            <c:strRef>
              <c:f>List1!$C$1</c:f>
              <c:strCache>
                <c:ptCount val="1"/>
                <c:pt idx="0">
                  <c:v>SEKTOR JAVNE USLUGE</c:v>
                </c:pt>
              </c:strCache>
            </c:strRef>
          </c:tx>
          <c:spPr>
            <a:solidFill>
              <a:schemeClr val="bg2">
                <a:lumMod val="50000"/>
              </a:schemeClr>
            </a:solidFill>
            <a:ln>
              <a:noFill/>
            </a:ln>
            <a:effectLst/>
          </c:spPr>
          <c:invertIfNegative val="0"/>
          <c:dLbls>
            <c:spPr>
              <a:solidFill>
                <a:schemeClr val="bg2">
                  <a:lumMod val="50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c:f>
              <c:strCache>
                <c:ptCount val="1"/>
                <c:pt idx="0">
                  <c:v>BROJ ZAPOSLENIH</c:v>
                </c:pt>
              </c:strCache>
            </c:strRef>
          </c:cat>
          <c:val>
            <c:numRef>
              <c:f>List1!$C$2</c:f>
              <c:numCache>
                <c:formatCode>#,##0</c:formatCode>
                <c:ptCount val="1"/>
                <c:pt idx="0">
                  <c:v>86</c:v>
                </c:pt>
              </c:numCache>
            </c:numRef>
          </c:val>
          <c:extLst>
            <c:ext xmlns:c16="http://schemas.microsoft.com/office/drawing/2014/chart" uri="{C3380CC4-5D6E-409C-BE32-E72D297353CC}">
              <c16:uniqueId val="{00000007-2A66-47C9-8F1A-C8B4A16D8288}"/>
            </c:ext>
          </c:extLst>
        </c:ser>
        <c:ser>
          <c:idx val="2"/>
          <c:order val="2"/>
          <c:tx>
            <c:strRef>
              <c:f>List1!$D$1</c:f>
              <c:strCache>
                <c:ptCount val="1"/>
                <c:pt idx="0">
                  <c:v>SEKTOR ZA LJUDSKE POTENCIJALE I POSLOVNU PODRŠKU</c:v>
                </c:pt>
              </c:strCache>
            </c:strRef>
          </c:tx>
          <c:spPr>
            <a:solidFill>
              <a:schemeClr val="bg1">
                <a:lumMod val="65000"/>
              </a:schemeClr>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c:f>
              <c:strCache>
                <c:ptCount val="1"/>
                <c:pt idx="0">
                  <c:v>BROJ ZAPOSLENIH</c:v>
                </c:pt>
              </c:strCache>
            </c:strRef>
          </c:cat>
          <c:val>
            <c:numRef>
              <c:f>List1!$D$2</c:f>
              <c:numCache>
                <c:formatCode>#,##0</c:formatCode>
                <c:ptCount val="1"/>
                <c:pt idx="0">
                  <c:v>35</c:v>
                </c:pt>
              </c:numCache>
            </c:numRef>
          </c:val>
          <c:extLst>
            <c:ext xmlns:c16="http://schemas.microsoft.com/office/drawing/2014/chart" uri="{C3380CC4-5D6E-409C-BE32-E72D297353CC}">
              <c16:uniqueId val="{00000008-2A66-47C9-8F1A-C8B4A16D8288}"/>
            </c:ext>
          </c:extLst>
        </c:ser>
        <c:ser>
          <c:idx val="3"/>
          <c:order val="3"/>
          <c:tx>
            <c:strRef>
              <c:f>List1!$E$1</c:f>
              <c:strCache>
                <c:ptCount val="1"/>
                <c:pt idx="0">
                  <c:v>ODJEL FINANCIJA I RAČUNOVODSTVA</c:v>
                </c:pt>
              </c:strCache>
            </c:strRef>
          </c:tx>
          <c:spPr>
            <a:solidFill>
              <a:schemeClr val="accent4"/>
            </a:solidFill>
            <a:ln>
              <a:noFill/>
            </a:ln>
            <a:effectLst/>
          </c:spPr>
          <c:invertIfNegative val="0"/>
          <c:dLbls>
            <c:spPr>
              <a:solidFill>
                <a:schemeClr val="accent4"/>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c:f>
              <c:strCache>
                <c:ptCount val="1"/>
                <c:pt idx="0">
                  <c:v>BROJ ZAPOSLENIH</c:v>
                </c:pt>
              </c:strCache>
            </c:strRef>
          </c:cat>
          <c:val>
            <c:numRef>
              <c:f>List1!$E$2</c:f>
              <c:numCache>
                <c:formatCode>#,##0</c:formatCode>
                <c:ptCount val="1"/>
                <c:pt idx="0">
                  <c:v>12</c:v>
                </c:pt>
              </c:numCache>
            </c:numRef>
          </c:val>
          <c:extLst>
            <c:ext xmlns:c16="http://schemas.microsoft.com/office/drawing/2014/chart" uri="{C3380CC4-5D6E-409C-BE32-E72D297353CC}">
              <c16:uniqueId val="{00000009-2A66-47C9-8F1A-C8B4A16D8288}"/>
            </c:ext>
          </c:extLst>
        </c:ser>
        <c:ser>
          <c:idx val="4"/>
          <c:order val="4"/>
          <c:tx>
            <c:strRef>
              <c:f>List1!$F$1</c:f>
              <c:strCache>
                <c:ptCount val="1"/>
                <c:pt idx="0">
                  <c:v>URED DIREKTORA</c:v>
                </c:pt>
              </c:strCache>
            </c:strRef>
          </c:tx>
          <c:spPr>
            <a:solidFill>
              <a:schemeClr val="accent2"/>
            </a:solidFill>
            <a:ln>
              <a:noFill/>
            </a:ln>
            <a:effectLst/>
          </c:spPr>
          <c:invertIfNegative val="0"/>
          <c:dLbls>
            <c:spPr>
              <a:solidFill>
                <a:schemeClr val="accent2"/>
              </a:solid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c:f>
              <c:strCache>
                <c:ptCount val="1"/>
                <c:pt idx="0">
                  <c:v>BROJ ZAPOSLENIH</c:v>
                </c:pt>
              </c:strCache>
            </c:strRef>
          </c:cat>
          <c:val>
            <c:numRef>
              <c:f>List1!$F$2</c:f>
              <c:numCache>
                <c:formatCode>#,##0</c:formatCode>
                <c:ptCount val="1"/>
                <c:pt idx="0">
                  <c:v>4</c:v>
                </c:pt>
              </c:numCache>
            </c:numRef>
          </c:val>
          <c:extLst>
            <c:ext xmlns:c16="http://schemas.microsoft.com/office/drawing/2014/chart" uri="{C3380CC4-5D6E-409C-BE32-E72D297353CC}">
              <c16:uniqueId val="{0000000A-2A66-47C9-8F1A-C8B4A16D8288}"/>
            </c:ext>
          </c:extLst>
        </c:ser>
        <c:dLbls>
          <c:dLblPos val="outEnd"/>
          <c:showLegendKey val="0"/>
          <c:showVal val="1"/>
          <c:showCatName val="0"/>
          <c:showSerName val="0"/>
          <c:showPercent val="0"/>
          <c:showBubbleSize val="0"/>
        </c:dLbls>
        <c:gapWidth val="355"/>
        <c:overlap val="-70"/>
        <c:axId val="588914832"/>
        <c:axId val="786691968"/>
      </c:barChart>
      <c:catAx>
        <c:axId val="588914832"/>
        <c:scaling>
          <c:orientation val="minMax"/>
        </c:scaling>
        <c:delete val="0"/>
        <c:axPos val="b"/>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786691968"/>
        <c:crosses val="autoZero"/>
        <c:auto val="1"/>
        <c:lblAlgn val="ctr"/>
        <c:lblOffset val="100"/>
        <c:noMultiLvlLbl val="0"/>
      </c:catAx>
      <c:valAx>
        <c:axId val="78669196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crossAx val="588914832"/>
        <c:crosses val="autoZero"/>
        <c:crossBetween val="between"/>
      </c:valAx>
      <c:spPr>
        <a:noFill/>
        <a:ln>
          <a:noFill/>
        </a:ln>
        <a:effectLst/>
      </c:spPr>
    </c:plotArea>
    <c:legend>
      <c:legendPos val="b"/>
      <c:layout>
        <c:manualLayout>
          <c:xMode val="edge"/>
          <c:yMode val="edge"/>
          <c:x val="1.3534278446726685E-3"/>
          <c:y val="0.90671630618365207"/>
          <c:w val="0.99644150049049818"/>
          <c:h val="9.328369381634782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0.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8.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0.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1.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2.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3.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4.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5.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16.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2.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3.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4.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5.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6.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7.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8.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word/theme/themeOverride9.xml><?xml version="1.0" encoding="utf-8"?>
<a:themeOverride xmlns:a="http://schemas.openxmlformats.org/drawingml/2006/main">
  <a:clrScheme name="Narančasto-crven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Jaka sjen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82df33-5ece-4a77-8dfc-2116db785934">
      <Terms xmlns="http://schemas.microsoft.com/office/infopath/2007/PartnerControls"/>
    </lcf76f155ced4ddcb4097134ff3c332f>
    <TaxCatchAll xmlns="820e3636-0926-4b0f-a141-86364435e0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D8020256BF33E4EAA281CBCF5E17EC0" ma:contentTypeVersion="16" ma:contentTypeDescription="Stvaranje novog dokumenta." ma:contentTypeScope="" ma:versionID="4745bdee391331e5ad6aa74793f3c10f">
  <xsd:schema xmlns:xsd="http://www.w3.org/2001/XMLSchema" xmlns:xs="http://www.w3.org/2001/XMLSchema" xmlns:p="http://schemas.microsoft.com/office/2006/metadata/properties" xmlns:ns2="e182df33-5ece-4a77-8dfc-2116db785934" xmlns:ns3="820e3636-0926-4b0f-a141-86364435e08c" targetNamespace="http://schemas.microsoft.com/office/2006/metadata/properties" ma:root="true" ma:fieldsID="ab2b1d1f31727c233df5e2ade843c350" ns2:_="" ns3:_="">
    <xsd:import namespace="e182df33-5ece-4a77-8dfc-2116db785934"/>
    <xsd:import namespace="820e3636-0926-4b0f-a141-86364435e0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2df33-5ece-4a77-8dfc-2116db785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Oznake slika" ma:readOnly="false" ma:fieldId="{5cf76f15-5ced-4ddc-b409-7134ff3c332f}" ma:taxonomyMulti="true" ma:sspId="0f7596a4-9a35-48e1-8c70-c1cd48220503"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e3636-0926-4b0f-a141-86364435e08c" elementFormDefault="qualified">
    <xsd:import namespace="http://schemas.microsoft.com/office/2006/documentManagement/types"/>
    <xsd:import namespace="http://schemas.microsoft.com/office/infopath/2007/PartnerControls"/>
    <xsd:element name="TaxCatchAll" ma:index="20" nillable="true" ma:displayName="Sveobuhvatni stupac taksonomije" ma:hidden="true" ma:list="{2cbe2ac6-ba0c-4c07-82e5-1bd3d49c41cc}" ma:internalName="TaxCatchAll" ma:showField="CatchAllData" ma:web="820e3636-0926-4b0f-a141-86364435e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963881-11A4-494E-93C5-ADFDDB519C07}">
  <ds:schemaRefs>
    <ds:schemaRef ds:uri="http://schemas.microsoft.com/office/2006/metadata/properties"/>
    <ds:schemaRef ds:uri="http://schemas.microsoft.com/office/infopath/2007/PartnerControls"/>
    <ds:schemaRef ds:uri="e182df33-5ece-4a77-8dfc-2116db785934"/>
    <ds:schemaRef ds:uri="820e3636-0926-4b0f-a141-86364435e08c"/>
  </ds:schemaRefs>
</ds:datastoreItem>
</file>

<file path=customXml/itemProps2.xml><?xml version="1.0" encoding="utf-8"?>
<ds:datastoreItem xmlns:ds="http://schemas.openxmlformats.org/officeDocument/2006/customXml" ds:itemID="{E6EBD003-D201-4532-AF48-30550F4074B8}">
  <ds:schemaRefs>
    <ds:schemaRef ds:uri="http://schemas.microsoft.com/sharepoint/v3/contenttype/forms"/>
  </ds:schemaRefs>
</ds:datastoreItem>
</file>

<file path=customXml/itemProps3.xml><?xml version="1.0" encoding="utf-8"?>
<ds:datastoreItem xmlns:ds="http://schemas.openxmlformats.org/officeDocument/2006/customXml" ds:itemID="{0E3BA174-CF6F-4D62-83C7-27C1112FEC9E}">
  <ds:schemaRefs>
    <ds:schemaRef ds:uri="http://schemas.openxmlformats.org/officeDocument/2006/bibliography"/>
  </ds:schemaRefs>
</ds:datastoreItem>
</file>

<file path=customXml/itemProps4.xml><?xml version="1.0" encoding="utf-8"?>
<ds:datastoreItem xmlns:ds="http://schemas.openxmlformats.org/officeDocument/2006/customXml" ds:itemID="{C079E797-4C9E-4ECD-8D63-FF664977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2df33-5ece-4a77-8dfc-2116db785934"/>
    <ds:schemaRef ds:uri="820e3636-0926-4b0f-a141-86364435e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1</Pages>
  <Words>6328</Words>
  <Characters>36070</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Povrženić</dc:creator>
  <cp:keywords/>
  <dc:description/>
  <cp:lastModifiedBy>Antonija Vrbančić</cp:lastModifiedBy>
  <cp:revision>36</cp:revision>
  <cp:lastPrinted>2025-05-29T06:05:00Z</cp:lastPrinted>
  <dcterms:created xsi:type="dcterms:W3CDTF">2024-06-13T11:24:00Z</dcterms:created>
  <dcterms:modified xsi:type="dcterms:W3CDTF">2025-05-29T13:10:00Z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0x0101003D8020256BF33E4EAA281CBCF5E17EC0</vt:lpwstr>
  </property>
</Properties>
</file>